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5E" w:rsidRPr="006E285E" w:rsidRDefault="006E285E" w:rsidP="006E285E">
      <w:pPr>
        <w:pStyle w:val="webheader"/>
      </w:pPr>
      <w:r w:rsidRPr="006E285E">
        <w:t>LCD DL38807</w:t>
      </w:r>
    </w:p>
    <w:p w:rsidR="006E285E" w:rsidRPr="006E285E" w:rsidRDefault="006E285E" w:rsidP="006E285E">
      <w:pPr>
        <w:pStyle w:val="webheader"/>
      </w:pPr>
      <w:r w:rsidRPr="006E285E">
        <w:t>Colon Capsule Endoscopy</w:t>
      </w:r>
    </w:p>
    <w:p w:rsidR="006E285E" w:rsidRPr="006E285E" w:rsidRDefault="006E285E" w:rsidP="006E285E">
      <w:pPr>
        <w:pStyle w:val="webheader2"/>
      </w:pPr>
      <w:r w:rsidRPr="006E285E">
        <w:t>September 11, 2020</w:t>
      </w:r>
    </w:p>
    <w:p w:rsidR="006E285E" w:rsidRPr="006E285E" w:rsidRDefault="006E285E" w:rsidP="006E285E">
      <w:pPr>
        <w:pStyle w:val="webheader2"/>
      </w:pPr>
      <w:r w:rsidRPr="006E285E">
        <w:t>F. Wilson Jackson, MD</w:t>
      </w:r>
    </w:p>
    <w:p w:rsidR="006E285E" w:rsidRPr="006E285E" w:rsidRDefault="006E285E" w:rsidP="006E285E">
      <w:pPr>
        <w:pStyle w:val="webnormal"/>
      </w:pPr>
    </w:p>
    <w:p w:rsidR="006E285E" w:rsidRPr="006E285E" w:rsidRDefault="006E285E" w:rsidP="006E285E">
      <w:pPr>
        <w:pStyle w:val="webnumbered1"/>
      </w:pPr>
      <w:r w:rsidRPr="006E285E">
        <w:t>Represent Pennsylvania Society of Gastroenterology</w:t>
      </w:r>
    </w:p>
    <w:p w:rsidR="006E285E" w:rsidRPr="006E285E" w:rsidRDefault="006E285E" w:rsidP="006E285E">
      <w:pPr>
        <w:pStyle w:val="webnumbered1"/>
      </w:pPr>
      <w:r w:rsidRPr="006E285E">
        <w:t>Solicited input from our board of directors which includes private, academic and employed physicians</w:t>
      </w:r>
    </w:p>
    <w:p w:rsidR="006E285E" w:rsidRPr="006E285E" w:rsidRDefault="006E285E" w:rsidP="006E285E">
      <w:pPr>
        <w:pStyle w:val="webnumbered1"/>
      </w:pPr>
      <w:r w:rsidRPr="006E285E">
        <w:t>General comments</w:t>
      </w:r>
    </w:p>
    <w:p w:rsidR="006E285E" w:rsidRPr="006E285E" w:rsidRDefault="006E285E" w:rsidP="006E285E">
      <w:pPr>
        <w:pStyle w:val="webbullet2"/>
      </w:pPr>
      <w:r w:rsidRPr="006E285E">
        <w:t>Goal of any policy around colon cancer screening should be reduction of the cancer in our population.  As such, there was general agreement to the LCD.</w:t>
      </w:r>
    </w:p>
    <w:p w:rsidR="006E285E" w:rsidRPr="006E285E" w:rsidRDefault="006E285E" w:rsidP="006E285E">
      <w:pPr>
        <w:pStyle w:val="webbullet2"/>
      </w:pPr>
      <w:r w:rsidRPr="006E285E">
        <w:t>Colon cancer remains common in the US, second most common cause of cancer mortality in the US</w:t>
      </w:r>
    </w:p>
    <w:p w:rsidR="006E285E" w:rsidRPr="006E285E" w:rsidRDefault="006E285E" w:rsidP="006E285E">
      <w:pPr>
        <w:pStyle w:val="webbullet2"/>
      </w:pPr>
      <w:r w:rsidRPr="006E285E">
        <w:t>Colon cancer is the only cancer we routinely screen for where there is opportunity to intervene in the pre-malignant state.  Other cancers for which we screen, the intent is to identify the cancer at an early stage; skin, breast, cervical, prostate and even lung.  Anything that can be done to improve detection and patient compliance is encouraged.</w:t>
      </w:r>
    </w:p>
    <w:p w:rsidR="006E285E" w:rsidRPr="006E285E" w:rsidRDefault="006E285E" w:rsidP="006E285E">
      <w:pPr>
        <w:pStyle w:val="webbullet2"/>
      </w:pPr>
      <w:r w:rsidRPr="006E285E">
        <w:t>We have a number of options to screen for colon cancer all of which have demonstrated efficacy in large population studies.  These include</w:t>
      </w:r>
    </w:p>
    <w:p w:rsidR="006E285E" w:rsidRPr="006E285E" w:rsidRDefault="006E285E" w:rsidP="006E285E">
      <w:pPr>
        <w:pStyle w:val="webbullet3"/>
      </w:pPr>
      <w:r w:rsidRPr="006E285E">
        <w:t>Fecal Occult blood test</w:t>
      </w:r>
    </w:p>
    <w:p w:rsidR="006E285E" w:rsidRPr="006E285E" w:rsidRDefault="006E285E" w:rsidP="006E285E">
      <w:pPr>
        <w:pStyle w:val="webbullet3"/>
      </w:pPr>
      <w:proofErr w:type="spellStart"/>
      <w:r w:rsidRPr="006E285E">
        <w:t>Immunohistochemical</w:t>
      </w:r>
      <w:proofErr w:type="spellEnd"/>
      <w:r w:rsidRPr="006E285E">
        <w:t xml:space="preserve"> stool test</w:t>
      </w:r>
    </w:p>
    <w:p w:rsidR="006E285E" w:rsidRPr="006E285E" w:rsidRDefault="006E285E" w:rsidP="006E285E">
      <w:pPr>
        <w:pStyle w:val="webbullet3"/>
      </w:pPr>
      <w:r w:rsidRPr="006E285E">
        <w:t>Flex Sig</w:t>
      </w:r>
    </w:p>
    <w:p w:rsidR="006E285E" w:rsidRPr="006E285E" w:rsidRDefault="006E285E" w:rsidP="006E285E">
      <w:pPr>
        <w:pStyle w:val="webbullet3"/>
      </w:pPr>
      <w:r w:rsidRPr="006E285E">
        <w:t>Colonoscopy</w:t>
      </w:r>
    </w:p>
    <w:p w:rsidR="006E285E" w:rsidRPr="006E285E" w:rsidRDefault="006E285E" w:rsidP="006E285E">
      <w:pPr>
        <w:pStyle w:val="webbullet3"/>
      </w:pPr>
      <w:r w:rsidRPr="006E285E">
        <w:t>CT Colonography</w:t>
      </w:r>
    </w:p>
    <w:p w:rsidR="006E285E" w:rsidRPr="006E285E" w:rsidRDefault="006E285E" w:rsidP="006E285E">
      <w:pPr>
        <w:pStyle w:val="webbullet3"/>
      </w:pPr>
      <w:r w:rsidRPr="006E285E">
        <w:t>Stool DNA – which remains an exciting area of ongoing improvement</w:t>
      </w:r>
    </w:p>
    <w:p w:rsidR="006E285E" w:rsidRPr="006E285E" w:rsidRDefault="006E285E" w:rsidP="006E285E">
      <w:pPr>
        <w:pStyle w:val="webbullet2"/>
      </w:pPr>
      <w:r w:rsidRPr="006E285E">
        <w:t>Colon capsule endoscopy has a place in the broad array of options to reduce colon cancer in our population and pleased Novitas is updating the policy</w:t>
      </w:r>
    </w:p>
    <w:p w:rsidR="006E285E" w:rsidRPr="006E285E" w:rsidRDefault="006E285E" w:rsidP="006E285E">
      <w:pPr>
        <w:pStyle w:val="webbullet2"/>
      </w:pPr>
      <w:r w:rsidRPr="006E285E">
        <w:t>The CCE does have its limitations but is an option.</w:t>
      </w:r>
    </w:p>
    <w:p w:rsidR="006E285E" w:rsidRPr="006E285E" w:rsidRDefault="006E285E" w:rsidP="006E285E">
      <w:pPr>
        <w:pStyle w:val="webbullet2"/>
      </w:pPr>
      <w:r w:rsidRPr="006E285E">
        <w:t xml:space="preserve">In working through the literature supporting the policy, we felt it important to point out that colonoscopy was the gold standard against which CCE was compared.  It is intuitive that it should remain so.  A well performed colonoscopy in a well-prepped colon remains the most accurate way to access for and remove adenomas.  Invariably, for some cases and despite full patient compliance, colonoscopy prep is imperfect and of all the screening </w:t>
      </w:r>
      <w:r w:rsidRPr="006E285E">
        <w:lastRenderedPageBreak/>
        <w:t xml:space="preserve">modalities, colonoscopy is the only imaging </w:t>
      </w:r>
      <w:proofErr w:type="gramStart"/>
      <w:r w:rsidRPr="006E285E">
        <w:t>study that enable</w:t>
      </w:r>
      <w:proofErr w:type="gramEnd"/>
      <w:r w:rsidRPr="006E285E">
        <w:t xml:space="preserve"> one to clean the field to improve adenoma detection rates.</w:t>
      </w:r>
    </w:p>
    <w:p w:rsidR="006E285E" w:rsidRPr="006E285E" w:rsidRDefault="006E285E" w:rsidP="006E285E">
      <w:pPr>
        <w:pStyle w:val="webnumbered1"/>
      </w:pPr>
      <w:r w:rsidRPr="006E285E">
        <w:t>Comments specific to the policy</w:t>
      </w:r>
    </w:p>
    <w:p w:rsidR="006E285E" w:rsidRPr="006E285E" w:rsidRDefault="006E285E" w:rsidP="006E285E">
      <w:pPr>
        <w:pStyle w:val="webbullet2"/>
      </w:pPr>
      <w:r w:rsidRPr="006E285E">
        <w:t>Covered indications</w:t>
      </w:r>
    </w:p>
    <w:p w:rsidR="006E285E" w:rsidRPr="006E285E" w:rsidRDefault="006E285E" w:rsidP="006E285E">
      <w:pPr>
        <w:pStyle w:val="webbullet3"/>
      </w:pPr>
      <w:r w:rsidRPr="006E285E">
        <w:t xml:space="preserve">1. Primary Procedure; the two listed indications may invite a deviation from the standard of care. The current standard of care is to proceed with colonoscopy in the event of positive FOBT or stool DNA.  The term “major risk for colonoscopy or moderate sedation” is open to broad interpretation.   Would suggest using ASA class 3 or greater and after the clinical assessment of the endoscopist performing the procedure. </w:t>
      </w:r>
    </w:p>
    <w:p w:rsidR="006E285E" w:rsidRPr="006E285E" w:rsidRDefault="006E285E" w:rsidP="006E285E">
      <w:pPr>
        <w:pStyle w:val="webbullet3"/>
      </w:pPr>
      <w:r w:rsidRPr="006E285E">
        <w:t>2. Agree with criteria 2</w:t>
      </w:r>
    </w:p>
    <w:p w:rsidR="006E285E" w:rsidRPr="006E285E" w:rsidRDefault="006E285E" w:rsidP="006E285E">
      <w:pPr>
        <w:pStyle w:val="webbullet2"/>
      </w:pPr>
      <w:r w:rsidRPr="006E285E">
        <w:t>Limitations</w:t>
      </w:r>
    </w:p>
    <w:p w:rsidR="006E285E" w:rsidRPr="006E285E" w:rsidRDefault="006E285E" w:rsidP="006E285E">
      <w:pPr>
        <w:pStyle w:val="webbullet3"/>
      </w:pPr>
      <w:r w:rsidRPr="006E285E">
        <w:t xml:space="preserve">Would remove item 2 (pacemaker or other…).  It is well established now and nearly 20 years after FDA approval and in after extensive clinical use that CE can be safely done in patients with implantable devices.  Refer to ASGE paper; </w:t>
      </w:r>
      <w:proofErr w:type="gramStart"/>
      <w:r w:rsidRPr="006E285E">
        <w:t>www.giejournal.org  Volume</w:t>
      </w:r>
      <w:proofErr w:type="gramEnd"/>
      <w:r w:rsidRPr="006E285E">
        <w:t xml:space="preserve"> 78, No. 6 : 2013 GASTROINTESTINAL ENDOSCOPY.  While the package insert lists these devises as a contraindication, there is extensive clinical use demonstrating safety and efficacy</w:t>
      </w:r>
    </w:p>
    <w:p w:rsidR="006E285E" w:rsidRPr="006E285E" w:rsidRDefault="006E285E" w:rsidP="006E285E">
      <w:pPr>
        <w:pStyle w:val="webbullet3"/>
      </w:pPr>
      <w:proofErr w:type="gramStart"/>
      <w:r w:rsidRPr="006E285E">
        <w:t>Would strike Limitation 4 (personal opinion).</w:t>
      </w:r>
      <w:proofErr w:type="gramEnd"/>
      <w:r w:rsidRPr="006E285E">
        <w:t xml:space="preserve">  Not the purview or responsibility for LCDs to </w:t>
      </w:r>
      <w:proofErr w:type="gramStart"/>
      <w:r w:rsidRPr="006E285E">
        <w:t>advise</w:t>
      </w:r>
      <w:proofErr w:type="gramEnd"/>
      <w:r w:rsidRPr="006E285E">
        <w:t xml:space="preserve"> on the prep.  The way it is written, any allergy to any prep solution would be a contraindication even if it is not used.  Would leave this to the purview of the endoscopist ordering the test.</w:t>
      </w:r>
    </w:p>
    <w:p w:rsidR="006E285E" w:rsidRPr="006E285E" w:rsidRDefault="006E285E" w:rsidP="006E285E">
      <w:pPr>
        <w:pStyle w:val="webbullet3"/>
      </w:pPr>
      <w:r w:rsidRPr="006E285E">
        <w:t>Would add that MRI should not be done in patients undergoing CCE and a flat plate of the abdomen ordered if there is concern for capsule retention after study completion.</w:t>
      </w:r>
    </w:p>
    <w:p w:rsidR="006E285E" w:rsidRPr="006E285E" w:rsidRDefault="006E285E" w:rsidP="006E285E">
      <w:pPr>
        <w:pStyle w:val="webbullet3"/>
      </w:pPr>
      <w:r w:rsidRPr="006E285E">
        <w:t>Agree with items 5 and 6</w:t>
      </w:r>
    </w:p>
    <w:p w:rsidR="006E285E" w:rsidRPr="006E285E" w:rsidRDefault="006E285E" w:rsidP="006E285E">
      <w:pPr>
        <w:pStyle w:val="webnormal"/>
      </w:pPr>
    </w:p>
    <w:p w:rsidR="006E285E" w:rsidRPr="006E285E" w:rsidRDefault="006E285E" w:rsidP="006E285E">
      <w:pPr>
        <w:pStyle w:val="webnumbered1"/>
      </w:pPr>
      <w:r w:rsidRPr="006E285E">
        <w:t>Comments on Clinical Literature</w:t>
      </w:r>
    </w:p>
    <w:p w:rsidR="006E285E" w:rsidRPr="006E285E" w:rsidRDefault="006E285E" w:rsidP="006E285E">
      <w:pPr>
        <w:pStyle w:val="webbullet2"/>
      </w:pPr>
      <w:r w:rsidRPr="006E285E">
        <w:t xml:space="preserve">4th paragraph and in reference to Rex </w:t>
      </w:r>
      <w:proofErr w:type="gramStart"/>
      <w:r w:rsidRPr="006E285E">
        <w:t>et</w:t>
      </w:r>
      <w:proofErr w:type="gramEnd"/>
      <w:r w:rsidRPr="006E285E">
        <w:t xml:space="preserve">. </w:t>
      </w:r>
      <w:proofErr w:type="gramStart"/>
      <w:r w:rsidRPr="006E285E">
        <w:t>all</w:t>
      </w:r>
      <w:proofErr w:type="gramEnd"/>
      <w:r w:rsidRPr="006E285E">
        <w:t xml:space="preserve"> study; 26% false negative findings for SSA polyps is unacceptably high.  This was a sentinel study and it should be recognized that CCE is inferior to well performed colonoscopy in detecting these lesions.</w:t>
      </w:r>
    </w:p>
    <w:p w:rsidR="006E285E" w:rsidRPr="006E285E" w:rsidRDefault="006E285E" w:rsidP="006E285E">
      <w:pPr>
        <w:pStyle w:val="webbullet2"/>
      </w:pPr>
      <w:r w:rsidRPr="006E285E">
        <w:t xml:space="preserve">9th paragraph; would qualify using the </w:t>
      </w:r>
      <w:proofErr w:type="spellStart"/>
      <w:r w:rsidRPr="006E285E">
        <w:t>Kobaek</w:t>
      </w:r>
      <w:proofErr w:type="spellEnd"/>
      <w:r w:rsidRPr="006E285E">
        <w:t>-Larsen 2018 study as reference.  There are significant methodologic flaws in the study the least of which was that the study design used colonoscopy as the standard against which to measure CCE and they concluded that CCE was superior.  Statistical fundamentals apply; the best one can conclude in the study design is non-inferiority.  While peer reviewed, it was not published in a top tier journal.  I would drop this as a reference in establishing Novitas policy.</w:t>
      </w:r>
    </w:p>
    <w:p w:rsidR="006E285E" w:rsidRPr="006E285E" w:rsidRDefault="006E285E" w:rsidP="006E285E">
      <w:pPr>
        <w:pStyle w:val="webnormal"/>
      </w:pPr>
    </w:p>
    <w:p w:rsidR="006E285E" w:rsidRPr="006E285E" w:rsidRDefault="006E285E" w:rsidP="006E285E">
      <w:pPr>
        <w:pStyle w:val="webnumbered1"/>
      </w:pPr>
      <w:r w:rsidRPr="006E285E">
        <w:t>Systematic review</w:t>
      </w:r>
    </w:p>
    <w:p w:rsidR="006E285E" w:rsidRPr="006E285E" w:rsidRDefault="006E285E" w:rsidP="006E285E">
      <w:pPr>
        <w:pStyle w:val="webbullet2"/>
      </w:pPr>
      <w:r w:rsidRPr="006E285E">
        <w:t>First paragraph; declaration by 2018 Emergency Care Research Institute as “somewhat favorable” is a weak endorsement.  Reminded me of the AT and T commercial where a patient asks a nurse if the surgeon about to operate on him is good and she says “</w:t>
      </w:r>
      <w:proofErr w:type="gramStart"/>
      <w:r w:rsidRPr="006E285E">
        <w:t>..he’s</w:t>
      </w:r>
      <w:proofErr w:type="gramEnd"/>
      <w:r w:rsidRPr="006E285E">
        <w:t xml:space="preserve"> OK…”  and the patient says “…just OK…”</w:t>
      </w:r>
    </w:p>
    <w:p w:rsidR="006E285E" w:rsidRPr="006E285E" w:rsidRDefault="006E285E" w:rsidP="006E285E">
      <w:pPr>
        <w:pStyle w:val="webnormal"/>
      </w:pPr>
    </w:p>
    <w:p w:rsidR="006E285E" w:rsidRPr="006E285E" w:rsidRDefault="006E285E" w:rsidP="006E285E">
      <w:pPr>
        <w:pStyle w:val="webnumbered1"/>
      </w:pPr>
      <w:r w:rsidRPr="006E285E">
        <w:t>Analysis of Evidence</w:t>
      </w:r>
    </w:p>
    <w:p w:rsidR="006E285E" w:rsidRPr="006E285E" w:rsidRDefault="006E285E" w:rsidP="006E285E">
      <w:pPr>
        <w:pStyle w:val="webbullet2"/>
      </w:pPr>
      <w:bookmarkStart w:id="0" w:name="_GoBack"/>
      <w:bookmarkEnd w:id="0"/>
      <w:r w:rsidRPr="006E285E">
        <w:t>First paragraph; disagree with the work “suitable” and would delete word and use phrase “…CCE is an suitable alternative to OC…”  and “In addition, CCE is suitable as a secondary procedure…”</w:t>
      </w:r>
    </w:p>
    <w:p w:rsidR="00AC3CB3" w:rsidRPr="006E285E" w:rsidRDefault="00AC3CB3" w:rsidP="006E285E">
      <w:pPr>
        <w:pStyle w:val="webnormal"/>
      </w:pPr>
    </w:p>
    <w:sectPr w:rsidR="00AC3CB3" w:rsidRPr="006E285E" w:rsidSect="006E285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84315C"/>
    <w:lvl w:ilvl="0">
      <w:start w:val="1"/>
      <w:numFmt w:val="decimal"/>
      <w:lvlText w:val="%1."/>
      <w:lvlJc w:val="left"/>
      <w:pPr>
        <w:tabs>
          <w:tab w:val="num" w:pos="1800"/>
        </w:tabs>
        <w:ind w:left="1800" w:hanging="360"/>
      </w:pPr>
    </w:lvl>
  </w:abstractNum>
  <w:abstractNum w:abstractNumId="1">
    <w:nsid w:val="FFFFFF7D"/>
    <w:multiLevelType w:val="singleLevel"/>
    <w:tmpl w:val="386E39DA"/>
    <w:lvl w:ilvl="0">
      <w:start w:val="1"/>
      <w:numFmt w:val="decimal"/>
      <w:lvlText w:val="%1."/>
      <w:lvlJc w:val="left"/>
      <w:pPr>
        <w:tabs>
          <w:tab w:val="num" w:pos="1440"/>
        </w:tabs>
        <w:ind w:left="1440" w:hanging="360"/>
      </w:pPr>
    </w:lvl>
  </w:abstractNum>
  <w:abstractNum w:abstractNumId="2">
    <w:nsid w:val="FFFFFF7E"/>
    <w:multiLevelType w:val="singleLevel"/>
    <w:tmpl w:val="499A1A24"/>
    <w:lvl w:ilvl="0">
      <w:start w:val="1"/>
      <w:numFmt w:val="decimal"/>
      <w:lvlText w:val="%1."/>
      <w:lvlJc w:val="left"/>
      <w:pPr>
        <w:tabs>
          <w:tab w:val="num" w:pos="1080"/>
        </w:tabs>
        <w:ind w:left="1080" w:hanging="360"/>
      </w:pPr>
    </w:lvl>
  </w:abstractNum>
  <w:abstractNum w:abstractNumId="3">
    <w:nsid w:val="FFFFFF7F"/>
    <w:multiLevelType w:val="singleLevel"/>
    <w:tmpl w:val="83EC7DAA"/>
    <w:lvl w:ilvl="0">
      <w:start w:val="1"/>
      <w:numFmt w:val="decimal"/>
      <w:lvlText w:val="%1."/>
      <w:lvlJc w:val="left"/>
      <w:pPr>
        <w:tabs>
          <w:tab w:val="num" w:pos="720"/>
        </w:tabs>
        <w:ind w:left="720" w:hanging="360"/>
      </w:pPr>
    </w:lvl>
  </w:abstractNum>
  <w:abstractNum w:abstractNumId="4">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02045C"/>
    <w:lvl w:ilvl="0">
      <w:start w:val="1"/>
      <w:numFmt w:val="decimal"/>
      <w:lvlText w:val="%1."/>
      <w:lvlJc w:val="left"/>
      <w:pPr>
        <w:tabs>
          <w:tab w:val="num" w:pos="360"/>
        </w:tabs>
        <w:ind w:left="360" w:hanging="360"/>
      </w:pPr>
    </w:lvl>
  </w:abstractNum>
  <w:abstractNum w:abstractNumId="9">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145BAF"/>
    <w:multiLevelType w:val="hybridMultilevel"/>
    <w:tmpl w:val="A5649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1"/>
  </w:num>
  <w:num w:numId="2">
    <w:abstractNumId w:val="14"/>
  </w:num>
  <w:num w:numId="3">
    <w:abstractNumId w:val="10"/>
  </w:num>
  <w:num w:numId="4">
    <w:abstractNumId w:val="17"/>
  </w:num>
  <w:num w:numId="5">
    <w:abstractNumId w:val="12"/>
  </w:num>
  <w:num w:numId="6">
    <w:abstractNumId w:val="15"/>
  </w:num>
  <w:num w:numId="7">
    <w:abstractNumId w:val="12"/>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9"/>
  </w:num>
  <w:num w:numId="25">
    <w:abstractNumId w:val="11"/>
  </w:num>
  <w:num w:numId="26">
    <w:abstractNumId w:val="13"/>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B9"/>
    <w:rsid w:val="0002379C"/>
    <w:rsid w:val="00041D5C"/>
    <w:rsid w:val="00073190"/>
    <w:rsid w:val="000A04F4"/>
    <w:rsid w:val="000A14F3"/>
    <w:rsid w:val="000C1D4A"/>
    <w:rsid w:val="000C36DF"/>
    <w:rsid w:val="000D2F87"/>
    <w:rsid w:val="000F6A44"/>
    <w:rsid w:val="000F700C"/>
    <w:rsid w:val="001055B4"/>
    <w:rsid w:val="001101E1"/>
    <w:rsid w:val="00122D51"/>
    <w:rsid w:val="00130DF9"/>
    <w:rsid w:val="00145DCD"/>
    <w:rsid w:val="00157BBA"/>
    <w:rsid w:val="00174AA2"/>
    <w:rsid w:val="001A0AB9"/>
    <w:rsid w:val="001B3D4B"/>
    <w:rsid w:val="001C4E73"/>
    <w:rsid w:val="001E4716"/>
    <w:rsid w:val="001F41A1"/>
    <w:rsid w:val="00200C53"/>
    <w:rsid w:val="00202A27"/>
    <w:rsid w:val="002035AB"/>
    <w:rsid w:val="00205A0E"/>
    <w:rsid w:val="00210A44"/>
    <w:rsid w:val="00226932"/>
    <w:rsid w:val="00227162"/>
    <w:rsid w:val="00232285"/>
    <w:rsid w:val="00232340"/>
    <w:rsid w:val="00233B83"/>
    <w:rsid w:val="00235AEE"/>
    <w:rsid w:val="00236271"/>
    <w:rsid w:val="00237672"/>
    <w:rsid w:val="0025194E"/>
    <w:rsid w:val="00253CDF"/>
    <w:rsid w:val="00272E35"/>
    <w:rsid w:val="002D1CD9"/>
    <w:rsid w:val="002E7BA1"/>
    <w:rsid w:val="00332BE0"/>
    <w:rsid w:val="0034739C"/>
    <w:rsid w:val="00352E61"/>
    <w:rsid w:val="00360973"/>
    <w:rsid w:val="00373C15"/>
    <w:rsid w:val="00377A95"/>
    <w:rsid w:val="00381CB9"/>
    <w:rsid w:val="003865A9"/>
    <w:rsid w:val="00391469"/>
    <w:rsid w:val="003A7BE4"/>
    <w:rsid w:val="003B2E53"/>
    <w:rsid w:val="003B77F4"/>
    <w:rsid w:val="003F715B"/>
    <w:rsid w:val="00407E33"/>
    <w:rsid w:val="004162AE"/>
    <w:rsid w:val="00467377"/>
    <w:rsid w:val="004714B0"/>
    <w:rsid w:val="00475FA6"/>
    <w:rsid w:val="00476215"/>
    <w:rsid w:val="0049375B"/>
    <w:rsid w:val="004A39A2"/>
    <w:rsid w:val="004D194C"/>
    <w:rsid w:val="004E1102"/>
    <w:rsid w:val="004E25BD"/>
    <w:rsid w:val="00506F16"/>
    <w:rsid w:val="005157CE"/>
    <w:rsid w:val="005279E5"/>
    <w:rsid w:val="0055536D"/>
    <w:rsid w:val="005742AD"/>
    <w:rsid w:val="0057519D"/>
    <w:rsid w:val="00580532"/>
    <w:rsid w:val="00580FA3"/>
    <w:rsid w:val="005C19AB"/>
    <w:rsid w:val="005C6EB6"/>
    <w:rsid w:val="005D031A"/>
    <w:rsid w:val="005E3426"/>
    <w:rsid w:val="005F192D"/>
    <w:rsid w:val="005F2531"/>
    <w:rsid w:val="00601C60"/>
    <w:rsid w:val="00607EA3"/>
    <w:rsid w:val="00612A3A"/>
    <w:rsid w:val="00632C35"/>
    <w:rsid w:val="0064189F"/>
    <w:rsid w:val="00651301"/>
    <w:rsid w:val="006567AA"/>
    <w:rsid w:val="0066594B"/>
    <w:rsid w:val="00665EB9"/>
    <w:rsid w:val="00681DB6"/>
    <w:rsid w:val="00690182"/>
    <w:rsid w:val="00691F2B"/>
    <w:rsid w:val="006D2F89"/>
    <w:rsid w:val="006D6E3C"/>
    <w:rsid w:val="006E285E"/>
    <w:rsid w:val="006E3869"/>
    <w:rsid w:val="006E66CD"/>
    <w:rsid w:val="007366DE"/>
    <w:rsid w:val="0073729C"/>
    <w:rsid w:val="007902DA"/>
    <w:rsid w:val="007925FC"/>
    <w:rsid w:val="007B479D"/>
    <w:rsid w:val="007D24BF"/>
    <w:rsid w:val="00803F9D"/>
    <w:rsid w:val="008123FC"/>
    <w:rsid w:val="00813F4E"/>
    <w:rsid w:val="00813F61"/>
    <w:rsid w:val="008148EC"/>
    <w:rsid w:val="00817177"/>
    <w:rsid w:val="00836FDD"/>
    <w:rsid w:val="008464FA"/>
    <w:rsid w:val="00854806"/>
    <w:rsid w:val="00861C2B"/>
    <w:rsid w:val="00867193"/>
    <w:rsid w:val="00873C37"/>
    <w:rsid w:val="0088323E"/>
    <w:rsid w:val="008A0E01"/>
    <w:rsid w:val="008A1FBB"/>
    <w:rsid w:val="008B64DB"/>
    <w:rsid w:val="008B7F93"/>
    <w:rsid w:val="008E7DCE"/>
    <w:rsid w:val="008F343B"/>
    <w:rsid w:val="008F4C07"/>
    <w:rsid w:val="00926052"/>
    <w:rsid w:val="009312AD"/>
    <w:rsid w:val="009811F7"/>
    <w:rsid w:val="00986C2C"/>
    <w:rsid w:val="00986FB4"/>
    <w:rsid w:val="00986FD6"/>
    <w:rsid w:val="00993A56"/>
    <w:rsid w:val="009A5FDB"/>
    <w:rsid w:val="009A7382"/>
    <w:rsid w:val="009B0978"/>
    <w:rsid w:val="009B260B"/>
    <w:rsid w:val="009C7829"/>
    <w:rsid w:val="009E5795"/>
    <w:rsid w:val="009F19A6"/>
    <w:rsid w:val="00A03422"/>
    <w:rsid w:val="00A148CC"/>
    <w:rsid w:val="00A42F8F"/>
    <w:rsid w:val="00A47B82"/>
    <w:rsid w:val="00A53343"/>
    <w:rsid w:val="00A86ED8"/>
    <w:rsid w:val="00A97754"/>
    <w:rsid w:val="00AC0D9F"/>
    <w:rsid w:val="00AC3CB3"/>
    <w:rsid w:val="00AC5576"/>
    <w:rsid w:val="00AC5AE0"/>
    <w:rsid w:val="00AC61C3"/>
    <w:rsid w:val="00AC7FD7"/>
    <w:rsid w:val="00AE7CED"/>
    <w:rsid w:val="00B2746C"/>
    <w:rsid w:val="00B36C09"/>
    <w:rsid w:val="00B542C5"/>
    <w:rsid w:val="00B61278"/>
    <w:rsid w:val="00B81E7D"/>
    <w:rsid w:val="00B91359"/>
    <w:rsid w:val="00BA7389"/>
    <w:rsid w:val="00BC777B"/>
    <w:rsid w:val="00BD21E8"/>
    <w:rsid w:val="00BD4C5A"/>
    <w:rsid w:val="00BE35C1"/>
    <w:rsid w:val="00BE640E"/>
    <w:rsid w:val="00C16A79"/>
    <w:rsid w:val="00C17D3D"/>
    <w:rsid w:val="00C22FAD"/>
    <w:rsid w:val="00C2427F"/>
    <w:rsid w:val="00C261AE"/>
    <w:rsid w:val="00C605C9"/>
    <w:rsid w:val="00C65ADC"/>
    <w:rsid w:val="00C719C3"/>
    <w:rsid w:val="00C72948"/>
    <w:rsid w:val="00CB1D21"/>
    <w:rsid w:val="00CC36FB"/>
    <w:rsid w:val="00D05EB8"/>
    <w:rsid w:val="00D11DDE"/>
    <w:rsid w:val="00D13F1A"/>
    <w:rsid w:val="00D32A4D"/>
    <w:rsid w:val="00D42C7C"/>
    <w:rsid w:val="00D73816"/>
    <w:rsid w:val="00D83A4B"/>
    <w:rsid w:val="00D86315"/>
    <w:rsid w:val="00DC0C84"/>
    <w:rsid w:val="00DC4629"/>
    <w:rsid w:val="00DC5403"/>
    <w:rsid w:val="00E15C4A"/>
    <w:rsid w:val="00E16AFF"/>
    <w:rsid w:val="00E3261B"/>
    <w:rsid w:val="00E33D2C"/>
    <w:rsid w:val="00E52CB0"/>
    <w:rsid w:val="00E60C0C"/>
    <w:rsid w:val="00E62117"/>
    <w:rsid w:val="00E635D6"/>
    <w:rsid w:val="00E8067F"/>
    <w:rsid w:val="00E80915"/>
    <w:rsid w:val="00EA0580"/>
    <w:rsid w:val="00EA10CE"/>
    <w:rsid w:val="00EA68CB"/>
    <w:rsid w:val="00EF1E8C"/>
    <w:rsid w:val="00EF77B5"/>
    <w:rsid w:val="00F01D04"/>
    <w:rsid w:val="00F23054"/>
    <w:rsid w:val="00F6726C"/>
    <w:rsid w:val="00F81CA5"/>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626403-7B78-4732-B587-D8FA8B515E78}">
  <ds:schemaRefs>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FC57F1A5-54C7-48C6-A26F-C94D046E4462}">
  <ds:schemaRefs>
    <ds:schemaRef ds:uri="http://schemas.microsoft.com/sharepoint/v3/contenttype/forms"/>
  </ds:schemaRefs>
</ds:datastoreItem>
</file>

<file path=customXml/itemProps4.xml><?xml version="1.0" encoding="utf-8"?>
<ds:datastoreItem xmlns:ds="http://schemas.openxmlformats.org/officeDocument/2006/customXml" ds:itemID="{11BC44CE-BEBF-4FFA-9A72-C1D849C7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787</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Reidenbach, Patricia Lynn</cp:lastModifiedBy>
  <cp:revision>2</cp:revision>
  <cp:lastPrinted>2013-08-22T18:47:00Z</cp:lastPrinted>
  <dcterms:created xsi:type="dcterms:W3CDTF">2020-09-17T19:05:00Z</dcterms:created>
  <dcterms:modified xsi:type="dcterms:W3CDTF">2020-09-17T19:05:00Z</dcterms:modified>
</cp:coreProperties>
</file>