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ECE1" w14:textId="50C16A35" w:rsidR="00167E31" w:rsidRPr="00C02984" w:rsidRDefault="00167E31" w:rsidP="00C02984">
      <w:pPr>
        <w:pStyle w:val="webheader"/>
      </w:pPr>
      <w:r w:rsidRPr="00C02984">
        <w:t xml:space="preserve">Incarcerated </w:t>
      </w:r>
      <w:r w:rsidR="00974ECA">
        <w:t>b</w:t>
      </w:r>
      <w:r w:rsidR="00ED78D3">
        <w:t>eneficiary</w:t>
      </w:r>
    </w:p>
    <w:p w14:paraId="767D2663" w14:textId="0D5B4139" w:rsidR="000C5B7D" w:rsidRPr="00123EE0" w:rsidRDefault="00123EE0" w:rsidP="00123EE0">
      <w:pPr>
        <w:pStyle w:val="webnormal"/>
      </w:pPr>
      <w:r w:rsidRPr="00123EE0">
        <w:t xml:space="preserve">Medicare will generally not pay for medical items and services furnished to a beneficiary who is </w:t>
      </w:r>
      <w:bookmarkStart w:id="0" w:name="_Hlk202932717"/>
      <w:r w:rsidR="00FC7927">
        <w:t>incarcerated or in custody</w:t>
      </w:r>
      <w:r w:rsidR="00B349FB">
        <w:t xml:space="preserve"> </w:t>
      </w:r>
      <w:bookmarkEnd w:id="0"/>
      <w:r w:rsidRPr="00123EE0">
        <w:t>at the time items and services are furnished under these Code of Federal Regulations (CFR) citations</w:t>
      </w:r>
      <w:r>
        <w:t>:</w:t>
      </w:r>
      <w:r w:rsidRPr="00123EE0">
        <w:t xml:space="preserve"> </w:t>
      </w:r>
    </w:p>
    <w:p w14:paraId="3A369C13" w14:textId="77777777" w:rsidR="00123EE0" w:rsidRDefault="000C5B7D" w:rsidP="00123EE0">
      <w:pPr>
        <w:pStyle w:val="webbullet1"/>
      </w:pPr>
      <w:r w:rsidRPr="00123EE0">
        <w:t>Medicare does not pay for services furnished to a beneficiary who has no legal obligation to pay for the service and no other person or organization has a legal obligation to provide or pay for the service</w:t>
      </w:r>
      <w:r w:rsidR="00123EE0">
        <w:t xml:space="preserve"> (</w:t>
      </w:r>
      <w:hyperlink r:id="rId8" w:history="1">
        <w:r w:rsidR="00123EE0" w:rsidRPr="00123EE0">
          <w:rPr>
            <w:rStyle w:val="Hyperlink"/>
          </w:rPr>
          <w:t>42 CFR §411.4</w:t>
        </w:r>
      </w:hyperlink>
      <w:r w:rsidR="00123EE0">
        <w:t>)</w:t>
      </w:r>
    </w:p>
    <w:p w14:paraId="5C0E6555" w14:textId="77777777" w:rsidR="000C5B7D" w:rsidRPr="00123EE0" w:rsidRDefault="000C5B7D" w:rsidP="00123EE0">
      <w:pPr>
        <w:pStyle w:val="webbullet1"/>
      </w:pPr>
      <w:r w:rsidRPr="00123EE0">
        <w:t>Medicare does not pay for services furnished by a Federal provider of services or other Federal agency</w:t>
      </w:r>
      <w:r w:rsidR="00123EE0">
        <w:t xml:space="preserve"> (</w:t>
      </w:r>
      <w:hyperlink r:id="rId9" w:history="1">
        <w:r w:rsidR="00123EE0" w:rsidRPr="00ED78D3">
          <w:rPr>
            <w:rStyle w:val="Hyperlink"/>
          </w:rPr>
          <w:t>42 CFR §411.6</w:t>
        </w:r>
      </w:hyperlink>
      <w:r w:rsidR="00123EE0">
        <w:t>)</w:t>
      </w:r>
    </w:p>
    <w:p w14:paraId="2F526551" w14:textId="77777777" w:rsidR="000C5B7D" w:rsidRPr="00123EE0" w:rsidRDefault="000C5B7D" w:rsidP="00123EE0">
      <w:pPr>
        <w:pStyle w:val="webbullet1"/>
      </w:pPr>
      <w:r w:rsidRPr="00123EE0">
        <w:t>Medicare does not pay for services that are paid for directly or indirectly by a governmental entity</w:t>
      </w:r>
      <w:r w:rsidR="00123EE0">
        <w:t xml:space="preserve"> (</w:t>
      </w:r>
      <w:hyperlink r:id="rId10" w:history="1">
        <w:r w:rsidR="00123EE0" w:rsidRPr="00ED78D3">
          <w:rPr>
            <w:rStyle w:val="Hyperlink"/>
          </w:rPr>
          <w:t>42 CFR §411.8</w:t>
        </w:r>
      </w:hyperlink>
      <w:r w:rsidR="00123EE0">
        <w:t>)</w:t>
      </w:r>
    </w:p>
    <w:p w14:paraId="07059C70" w14:textId="720A3E1C" w:rsidR="00167E31" w:rsidRPr="00C02984" w:rsidRDefault="00167E31" w:rsidP="00C02984">
      <w:pPr>
        <w:pStyle w:val="webheader2"/>
      </w:pPr>
      <w:bookmarkStart w:id="1" w:name="individuals"/>
      <w:bookmarkEnd w:id="1"/>
      <w:r w:rsidRPr="00C02984">
        <w:t>Definit</w:t>
      </w:r>
      <w:r w:rsidR="00E26117" w:rsidRPr="00C02984">
        <w:t xml:space="preserve">ion of </w:t>
      </w:r>
      <w:r w:rsidR="00974ECA">
        <w:t>i</w:t>
      </w:r>
      <w:r w:rsidR="00E26117" w:rsidRPr="00C02984">
        <w:t xml:space="preserve">ndividuals in </w:t>
      </w:r>
      <w:r w:rsidR="00974ECA">
        <w:t>c</w:t>
      </w:r>
      <w:r w:rsidR="00E26117" w:rsidRPr="00C02984">
        <w:t>ustody</w:t>
      </w:r>
    </w:p>
    <w:p w14:paraId="4358B34F" w14:textId="77777777" w:rsidR="004E46D9" w:rsidRPr="00ED4535" w:rsidRDefault="004E46D9" w:rsidP="004E46D9">
      <w:pPr>
        <w:pStyle w:val="webnormal"/>
      </w:pPr>
      <w:r w:rsidRPr="00ED4535">
        <w:t xml:space="preserve">Under Medicare Program regulation at 42 CFR §411.4(b), an individual is considered in custody if this individual is: </w:t>
      </w:r>
    </w:p>
    <w:p w14:paraId="3CE3A794" w14:textId="1FF05ADD" w:rsidR="004E46D9" w:rsidRPr="00ED4535" w:rsidRDefault="004E46D9" w:rsidP="004E46D9">
      <w:pPr>
        <w:pStyle w:val="webbullet1"/>
      </w:pPr>
      <w:r w:rsidRPr="00ED4535">
        <w:t xml:space="preserve">Incarcerated in a jail, prison, penitentiary, or similar </w:t>
      </w:r>
      <w:proofErr w:type="gramStart"/>
      <w:r w:rsidRPr="00ED4535">
        <w:t>institution</w:t>
      </w:r>
      <w:r>
        <w:t>;</w:t>
      </w:r>
      <w:proofErr w:type="gramEnd"/>
    </w:p>
    <w:p w14:paraId="04A0B65B" w14:textId="77777777" w:rsidR="004E46D9" w:rsidRPr="00ED4535" w:rsidRDefault="004E46D9" w:rsidP="004E46D9">
      <w:pPr>
        <w:pStyle w:val="webbullet1"/>
      </w:pPr>
      <w:r w:rsidRPr="00ED4535">
        <w:t xml:space="preserve">Temporarily outside of a jail, prison, penitentiary, or similar institution on medical furlough or similar </w:t>
      </w:r>
      <w:proofErr w:type="gramStart"/>
      <w:r w:rsidRPr="00ED4535">
        <w:t>arrangement</w:t>
      </w:r>
      <w:r>
        <w:t>;</w:t>
      </w:r>
      <w:proofErr w:type="gramEnd"/>
    </w:p>
    <w:p w14:paraId="24806F84" w14:textId="77777777" w:rsidR="004E46D9" w:rsidRPr="00ED4535" w:rsidRDefault="004E46D9" w:rsidP="004E46D9">
      <w:pPr>
        <w:pStyle w:val="webbullet1"/>
      </w:pPr>
      <w:r w:rsidRPr="00ED4535">
        <w:t>Escaped from confinement by a penal authority</w:t>
      </w:r>
      <w:r>
        <w:t>; or</w:t>
      </w:r>
    </w:p>
    <w:p w14:paraId="6E42E61B" w14:textId="77777777" w:rsidR="004E46D9" w:rsidRPr="00ED4535" w:rsidRDefault="004E46D9" w:rsidP="004E46D9">
      <w:pPr>
        <w:pStyle w:val="webbullet1"/>
      </w:pPr>
      <w:r w:rsidRPr="00ED4535">
        <w:t>Required to reside in a mental health facility under a penal statute or rule</w:t>
      </w:r>
    </w:p>
    <w:p w14:paraId="17827AC5" w14:textId="77777777" w:rsidR="004E46D9" w:rsidRPr="00ED4535" w:rsidRDefault="004E46D9" w:rsidP="004E46D9">
      <w:pPr>
        <w:pStyle w:val="webnormal"/>
      </w:pPr>
      <w:r w:rsidRPr="00ED4535">
        <w:t>Individuals who are not considered to be in custody of a penal authority include, but are not limited to, individuals who are:</w:t>
      </w:r>
    </w:p>
    <w:p w14:paraId="03AC8CD8" w14:textId="77777777" w:rsidR="004E46D9" w:rsidRPr="00ED4535" w:rsidRDefault="004E46D9" w:rsidP="004E46D9">
      <w:pPr>
        <w:pStyle w:val="webbullet1"/>
      </w:pPr>
      <w:r w:rsidRPr="00ED4535">
        <w:t>Released to the community pending trial (including those in pretrial community supervision and those released pursuant to cash bail</w:t>
      </w:r>
      <w:proofErr w:type="gramStart"/>
      <w:r w:rsidRPr="00ED4535">
        <w:t>)</w:t>
      </w:r>
      <w:r>
        <w:t>;</w:t>
      </w:r>
      <w:proofErr w:type="gramEnd"/>
    </w:p>
    <w:p w14:paraId="0DA3F391" w14:textId="77777777" w:rsidR="004E46D9" w:rsidRPr="00ED4535" w:rsidRDefault="004E46D9" w:rsidP="004E46D9">
      <w:pPr>
        <w:pStyle w:val="webbullet1"/>
      </w:pPr>
      <w:r w:rsidRPr="00ED4535">
        <w:t xml:space="preserve">On </w:t>
      </w:r>
      <w:proofErr w:type="gramStart"/>
      <w:r w:rsidRPr="00ED4535">
        <w:t>parole</w:t>
      </w:r>
      <w:r>
        <w:t>;</w:t>
      </w:r>
      <w:proofErr w:type="gramEnd"/>
    </w:p>
    <w:p w14:paraId="65C3C4E2" w14:textId="77777777" w:rsidR="004E46D9" w:rsidRPr="00ED4535" w:rsidRDefault="004E46D9" w:rsidP="004E46D9">
      <w:pPr>
        <w:pStyle w:val="webbullet1"/>
      </w:pPr>
      <w:r w:rsidRPr="00ED4535">
        <w:t xml:space="preserve">On </w:t>
      </w:r>
      <w:proofErr w:type="gramStart"/>
      <w:r w:rsidRPr="00ED4535">
        <w:t>probation</w:t>
      </w:r>
      <w:r>
        <w:t>;</w:t>
      </w:r>
      <w:proofErr w:type="gramEnd"/>
    </w:p>
    <w:p w14:paraId="22650FAF" w14:textId="77777777" w:rsidR="004E46D9" w:rsidRPr="00ED4535" w:rsidRDefault="004E46D9" w:rsidP="004E46D9">
      <w:pPr>
        <w:pStyle w:val="webbullet1"/>
      </w:pPr>
      <w:r w:rsidRPr="00ED4535">
        <w:t>On home detention or home confinement</w:t>
      </w:r>
      <w:r>
        <w:t>; or</w:t>
      </w:r>
    </w:p>
    <w:p w14:paraId="2D4042B1" w14:textId="70CC35F8" w:rsidR="004E46D9" w:rsidRDefault="004E46D9" w:rsidP="00793740">
      <w:pPr>
        <w:pStyle w:val="webbullet1"/>
      </w:pPr>
      <w:r w:rsidRPr="00ED4535">
        <w:t>Required to live in a halfway house or other community-based transitional facility</w:t>
      </w:r>
    </w:p>
    <w:p w14:paraId="6B250B85" w14:textId="31D79DE0" w:rsidR="00167E31" w:rsidRPr="00C02984" w:rsidRDefault="00167E31" w:rsidP="00C02984">
      <w:pPr>
        <w:pStyle w:val="webheader2"/>
      </w:pPr>
      <w:bookmarkStart w:id="2" w:name="custody"/>
      <w:bookmarkStart w:id="3" w:name="special"/>
      <w:bookmarkEnd w:id="2"/>
      <w:bookmarkEnd w:id="3"/>
      <w:r w:rsidRPr="00C02984">
        <w:t xml:space="preserve">Special </w:t>
      </w:r>
      <w:r w:rsidR="00974ECA">
        <w:t>c</w:t>
      </w:r>
      <w:r w:rsidRPr="00C02984">
        <w:t xml:space="preserve">onditions in which Medicare </w:t>
      </w:r>
      <w:r w:rsidR="00974ECA">
        <w:t>w</w:t>
      </w:r>
      <w:r w:rsidRPr="00C02984">
        <w:t xml:space="preserve">ill </w:t>
      </w:r>
      <w:r w:rsidR="00974ECA">
        <w:t>p</w:t>
      </w:r>
      <w:r w:rsidRPr="00C02984">
        <w:t>ay</w:t>
      </w:r>
      <w:r w:rsidR="00E26117" w:rsidRPr="00C02984">
        <w:t xml:space="preserve"> for </w:t>
      </w:r>
      <w:r w:rsidR="00974ECA">
        <w:t>i</w:t>
      </w:r>
      <w:r w:rsidR="00E26117" w:rsidRPr="00C02984">
        <w:t xml:space="preserve">ncarcerated </w:t>
      </w:r>
      <w:r w:rsidR="00974ECA">
        <w:t>b</w:t>
      </w:r>
      <w:r w:rsidR="00E26117" w:rsidRPr="00C02984">
        <w:t>eneficiaries</w:t>
      </w:r>
    </w:p>
    <w:p w14:paraId="0737E7AE" w14:textId="77777777" w:rsidR="00167E31" w:rsidRPr="00C02984" w:rsidRDefault="00167E31" w:rsidP="00C02984">
      <w:pPr>
        <w:pStyle w:val="webnormal"/>
      </w:pPr>
      <w:r w:rsidRPr="00C02984">
        <w:t>Payment may be made for services furnished to individuals or groups of individuals who are in the custody of the police or other penal authorities or in the custody of a government agency under a penal statute only if the following conditions are met (under 42 CFR §411.4(b)):</w:t>
      </w:r>
    </w:p>
    <w:p w14:paraId="06BFA328" w14:textId="77777777" w:rsidR="00167E31" w:rsidRPr="00C02984" w:rsidRDefault="00167E31" w:rsidP="00C02984">
      <w:pPr>
        <w:pStyle w:val="webbullet1"/>
      </w:pPr>
      <w:r w:rsidRPr="00C02984">
        <w:t>State or local law requires those individuals or groups of individuals to repay the cost of medical services they receive while in custody.</w:t>
      </w:r>
    </w:p>
    <w:p w14:paraId="00E2D7B4" w14:textId="77777777" w:rsidR="008123FC" w:rsidRDefault="00167E31" w:rsidP="00C02984">
      <w:pPr>
        <w:pStyle w:val="webbullet1"/>
      </w:pPr>
      <w:r w:rsidRPr="00C02984">
        <w:t>State or local government entity enforces the requirement to pay by billing all such individuals, whether or not covered by Medicare or any other health insurance, and by pursuing the collection of the amounts they owe in the same way and with the same vigor that it pursues the collection of other debts.</w:t>
      </w:r>
      <w:bookmarkStart w:id="4" w:name="office"/>
      <w:bookmarkStart w:id="5" w:name="info"/>
      <w:bookmarkEnd w:id="4"/>
      <w:bookmarkEnd w:id="5"/>
      <w:r w:rsidR="00A94983" w:rsidRPr="00C02984">
        <w:t xml:space="preserve"> </w:t>
      </w:r>
    </w:p>
    <w:p w14:paraId="26ED3BB1" w14:textId="54AF391C" w:rsidR="00656758" w:rsidRPr="00656758" w:rsidRDefault="00656758" w:rsidP="00656758">
      <w:pPr>
        <w:pStyle w:val="webheader2"/>
      </w:pPr>
      <w:r w:rsidRPr="00656758">
        <w:t xml:space="preserve">Verify </w:t>
      </w:r>
      <w:r w:rsidR="003E362E">
        <w:t>p</w:t>
      </w:r>
      <w:r w:rsidR="003E362E" w:rsidRPr="00656758">
        <w:t xml:space="preserve">atient </w:t>
      </w:r>
      <w:r w:rsidR="003E362E">
        <w:t>e</w:t>
      </w:r>
      <w:r w:rsidR="003E362E" w:rsidRPr="00656758">
        <w:t>ligibility</w:t>
      </w:r>
    </w:p>
    <w:p w14:paraId="7617C180" w14:textId="77777777" w:rsidR="00656758" w:rsidRPr="00656758" w:rsidRDefault="00656758" w:rsidP="00793740">
      <w:pPr>
        <w:pStyle w:val="webnormal"/>
      </w:pPr>
      <w:r w:rsidRPr="00656758">
        <w:lastRenderedPageBreak/>
        <w:t>Verify patient eligibility to determine if the Medicare beneficiary was incarcerated for the date of service.</w:t>
      </w:r>
    </w:p>
    <w:p w14:paraId="0867414A" w14:textId="3F5943F4" w:rsidR="00656758" w:rsidRPr="00656758" w:rsidRDefault="00656758" w:rsidP="00793740">
      <w:pPr>
        <w:pStyle w:val="webbullet1"/>
      </w:pPr>
      <w:r w:rsidRPr="00656758">
        <w:t>Novitasphere Portal (</w:t>
      </w:r>
      <w:hyperlink r:id="rId11" w:history="1">
        <w:r w:rsidRPr="00656758">
          <w:rPr>
            <w:rStyle w:val="Hyperlink"/>
          </w:rPr>
          <w:t>JH</w:t>
        </w:r>
      </w:hyperlink>
      <w:r w:rsidRPr="00656758">
        <w:t>)(</w:t>
      </w:r>
      <w:hyperlink r:id="rId12" w:history="1">
        <w:r w:rsidRPr="00656758">
          <w:rPr>
            <w:rStyle w:val="Hyperlink"/>
          </w:rPr>
          <w:t>JL</w:t>
        </w:r>
      </w:hyperlink>
      <w:r w:rsidRPr="00656758">
        <w:t>)</w:t>
      </w:r>
    </w:p>
    <w:p w14:paraId="7C407C09" w14:textId="77777777" w:rsidR="00656758" w:rsidRPr="00656758" w:rsidRDefault="00656758" w:rsidP="00793740">
      <w:pPr>
        <w:pStyle w:val="webbullet1"/>
      </w:pPr>
      <w:r w:rsidRPr="00656758">
        <w:t>Billing agencies, clearinghouses, or software vendors</w:t>
      </w:r>
    </w:p>
    <w:p w14:paraId="50E36266" w14:textId="77777777" w:rsidR="00656758" w:rsidRPr="00656758" w:rsidRDefault="00656758" w:rsidP="00793740">
      <w:pPr>
        <w:pStyle w:val="webnormal"/>
      </w:pPr>
      <w:r w:rsidRPr="00656758">
        <w:t>If it is determined incorrect incarceration dates are showing on the beneficiary’s record, the beneficiary will need to contact the </w:t>
      </w:r>
      <w:hyperlink r:id="rId13" w:tooltip="https://www.ssa.gov/life-events/incarceration" w:history="1">
        <w:r w:rsidRPr="00656758">
          <w:rPr>
            <w:rStyle w:val="Hyperlink"/>
          </w:rPr>
          <w:t>Social Security Administration (SSA)</w:t>
        </w:r>
      </w:hyperlink>
      <w:r w:rsidRPr="00656758">
        <w:t> to request an update.</w:t>
      </w:r>
    </w:p>
    <w:p w14:paraId="773C23F9" w14:textId="59228819" w:rsidR="004E46D9" w:rsidRPr="00ED4535" w:rsidRDefault="004E46D9" w:rsidP="004E46D9">
      <w:pPr>
        <w:pStyle w:val="webheader2"/>
      </w:pPr>
      <w:r w:rsidRPr="00ED4535">
        <w:t xml:space="preserve">Claims </w:t>
      </w:r>
      <w:r w:rsidR="003E362E">
        <w:t>p</w:t>
      </w:r>
      <w:r w:rsidR="003E362E" w:rsidRPr="00ED4535">
        <w:t xml:space="preserve">rocessing </w:t>
      </w:r>
      <w:r w:rsidR="003E362E">
        <w:t>p</w:t>
      </w:r>
      <w:r w:rsidR="003E362E" w:rsidRPr="00ED4535">
        <w:t>rocedures</w:t>
      </w:r>
    </w:p>
    <w:p w14:paraId="5F7E3757" w14:textId="77777777" w:rsidR="00656758" w:rsidRPr="00656758" w:rsidRDefault="00656758" w:rsidP="00793740">
      <w:pPr>
        <w:pStyle w:val="webnormal"/>
      </w:pPr>
      <w:r w:rsidRPr="00656758">
        <w:t>MACs must deny claims for items and services rendered to beneficiaries under custody when the Common Working File (CWF) identifies patients in this status.</w:t>
      </w:r>
    </w:p>
    <w:p w14:paraId="081DFC1F" w14:textId="77777777" w:rsidR="00656758" w:rsidRPr="00656758" w:rsidRDefault="00656758" w:rsidP="00793740">
      <w:pPr>
        <w:pStyle w:val="webnormal"/>
      </w:pPr>
      <w:r w:rsidRPr="00656758">
        <w:t>Providers that render items and services to individuals in custody of a penal authority in a jurisdiction that meets the conditions of 42 CFR 411.4(b)(1)(</w:t>
      </w:r>
      <w:proofErr w:type="spellStart"/>
      <w:r w:rsidRPr="00656758">
        <w:t>i</w:t>
      </w:r>
      <w:proofErr w:type="spellEnd"/>
      <w:r w:rsidRPr="00656758">
        <w:t>) through (iii) should indicate the requirements have been met for payment on the claim by billing as follows:</w:t>
      </w:r>
    </w:p>
    <w:p w14:paraId="015DD9E1" w14:textId="77777777" w:rsidR="00656758" w:rsidRPr="00656758" w:rsidRDefault="00656758" w:rsidP="00793740">
      <w:pPr>
        <w:pStyle w:val="webbullet1"/>
      </w:pPr>
      <w:r w:rsidRPr="00656758">
        <w:t>Outpatient claims, providers shall append a HCPCS modifier QJ on all lines with a line-item date of service during the incarceration period.</w:t>
      </w:r>
    </w:p>
    <w:p w14:paraId="087C2B17" w14:textId="77777777" w:rsidR="00656758" w:rsidRPr="00656758" w:rsidRDefault="00656758" w:rsidP="00793740">
      <w:pPr>
        <w:pStyle w:val="webbullet1"/>
      </w:pPr>
      <w:r w:rsidRPr="00656758">
        <w:t>Inpatient claims, providers shall append condition code “63” to indicate services rendered meets the requirements for payment.</w:t>
      </w:r>
    </w:p>
    <w:p w14:paraId="1979C146" w14:textId="04D6B61B" w:rsidR="00C72223" w:rsidRDefault="00C72223" w:rsidP="00C72223">
      <w:pPr>
        <w:pStyle w:val="webheader2"/>
      </w:pPr>
      <w:r w:rsidRPr="00C72223">
        <w:t>Denials</w:t>
      </w:r>
    </w:p>
    <w:p w14:paraId="541D24A8" w14:textId="77777777" w:rsidR="00656758" w:rsidRPr="00656758" w:rsidRDefault="00656758" w:rsidP="00793740">
      <w:pPr>
        <w:pStyle w:val="webnormal"/>
      </w:pPr>
      <w:r w:rsidRPr="00656758">
        <w:t>When a claim denies for services provided to patients under penal custody, the remittance advice will include RARC N103.</w:t>
      </w:r>
    </w:p>
    <w:p w14:paraId="7D1423DC" w14:textId="77777777" w:rsidR="00656758" w:rsidRPr="00656758" w:rsidRDefault="00656758" w:rsidP="00793740">
      <w:pPr>
        <w:pStyle w:val="webnormal"/>
      </w:pPr>
      <w:r w:rsidRPr="00656758">
        <w:t>A party to a claim denied in whole or in part under this policy may appeal the initial determination on the basis that, on the date of service:</w:t>
      </w:r>
    </w:p>
    <w:p w14:paraId="08B09F2B" w14:textId="77777777" w:rsidR="00656758" w:rsidRPr="00656758" w:rsidRDefault="00656758" w:rsidP="00793740">
      <w:pPr>
        <w:pStyle w:val="webbullet1"/>
      </w:pPr>
      <w:r w:rsidRPr="00656758">
        <w:t>The conditions of § 411.4(b)(1)(</w:t>
      </w:r>
      <w:proofErr w:type="spellStart"/>
      <w:r w:rsidRPr="00656758">
        <w:t>i</w:t>
      </w:r>
      <w:proofErr w:type="spellEnd"/>
      <w:r w:rsidRPr="00656758">
        <w:t>) through (iii) were met, or</w:t>
      </w:r>
    </w:p>
    <w:p w14:paraId="7AD6EBFD" w14:textId="77777777" w:rsidR="00656758" w:rsidRPr="00656758" w:rsidRDefault="00656758" w:rsidP="00793740">
      <w:pPr>
        <w:pStyle w:val="webbullet1"/>
      </w:pPr>
      <w:r w:rsidRPr="00656758">
        <w:t>The beneficiary was not, in fact, in custody under authority of a penal statute and the beneficiary’s record does not reflect incarceration for the date of service.</w:t>
      </w:r>
    </w:p>
    <w:p w14:paraId="288F11E4" w14:textId="77777777" w:rsidR="004E46D9" w:rsidRPr="004E46D9" w:rsidRDefault="004E46D9" w:rsidP="00656758">
      <w:pPr>
        <w:pStyle w:val="webnormal"/>
      </w:pPr>
      <w:r w:rsidRPr="004E46D9">
        <w:t>You may request an appeal by completing a Redetermination and Clerical Error Reopening Request Form</w:t>
      </w:r>
      <w:r w:rsidRPr="004E46D9">
        <w:rPr>
          <w:rStyle w:val="Hyperlink"/>
        </w:rPr>
        <w:t xml:space="preserve"> </w:t>
      </w:r>
      <w:r w:rsidRPr="004E46D9">
        <w:t>(</w:t>
      </w:r>
      <w:hyperlink r:id="rId14" w:history="1">
        <w:r w:rsidRPr="004E46D9">
          <w:rPr>
            <w:rStyle w:val="Hyperlink"/>
          </w:rPr>
          <w:t>Part A</w:t>
        </w:r>
      </w:hyperlink>
      <w:r w:rsidRPr="004E46D9">
        <w:t>) (</w:t>
      </w:r>
      <w:hyperlink r:id="rId15" w:history="1">
        <w:r w:rsidRPr="004E46D9">
          <w:rPr>
            <w:rStyle w:val="Hyperlink"/>
          </w:rPr>
          <w:t>Part B</w:t>
        </w:r>
      </w:hyperlink>
      <w:r w:rsidRPr="004E46D9">
        <w:t>).</w:t>
      </w:r>
    </w:p>
    <w:p w14:paraId="4B6F054D" w14:textId="77777777" w:rsidR="000C5B7D" w:rsidRPr="00123EE0" w:rsidRDefault="000C5B7D" w:rsidP="00123EE0">
      <w:pPr>
        <w:pStyle w:val="webheader2"/>
      </w:pPr>
      <w:r w:rsidRPr="00123EE0">
        <w:t>References</w:t>
      </w:r>
    </w:p>
    <w:p w14:paraId="046DBE7E" w14:textId="7FFC8A71" w:rsidR="004E46D9" w:rsidRPr="004E46D9" w:rsidRDefault="004E46D9" w:rsidP="004E46D9">
      <w:pPr>
        <w:pStyle w:val="webbullet1"/>
        <w:rPr>
          <w:rStyle w:val="Hyperlink"/>
        </w:rPr>
      </w:pPr>
      <w:hyperlink r:id="rId16" w:history="1">
        <w:r w:rsidRPr="004E46D9">
          <w:rPr>
            <w:rStyle w:val="Hyperlink"/>
          </w:rPr>
          <w:t>Medicare Learning Network (MLN) Article: MLN908084: Patients in Custody Under a Penal Authority</w:t>
        </w:r>
      </w:hyperlink>
    </w:p>
    <w:p w14:paraId="0131A1B2" w14:textId="77777777" w:rsidR="004E46D9" w:rsidRPr="004E46D9" w:rsidRDefault="004E46D9" w:rsidP="004E46D9">
      <w:pPr>
        <w:pStyle w:val="webbullet1"/>
        <w:rPr>
          <w:rStyle w:val="Hyperlink"/>
        </w:rPr>
      </w:pPr>
      <w:r w:rsidRPr="004E46D9">
        <w:rPr>
          <w:rStyle w:val="Hyperlink"/>
        </w:rPr>
        <w:fldChar w:fldCharType="begin"/>
      </w:r>
      <w:r w:rsidRPr="004E46D9">
        <w:rPr>
          <w:rStyle w:val="Hyperlink"/>
        </w:rPr>
        <w:instrText>HYPERLINK "https://www.cms.gov/regulations-and-guidance/guidance/manuals/downloads/bp102c16.pdf" \t "_blank"</w:instrText>
      </w:r>
      <w:r w:rsidRPr="004E46D9">
        <w:rPr>
          <w:rStyle w:val="Hyperlink"/>
        </w:rPr>
      </w:r>
      <w:r w:rsidRPr="004E46D9">
        <w:rPr>
          <w:rStyle w:val="Hyperlink"/>
        </w:rPr>
        <w:fldChar w:fldCharType="separate"/>
      </w:r>
      <w:r w:rsidRPr="004E46D9">
        <w:rPr>
          <w:rStyle w:val="Hyperlink"/>
        </w:rPr>
        <w:t>Medicare Benefits Policy Manual, Publication 100-2, Chapter 16, Sections 40 &amp; 50.3.3</w:t>
      </w:r>
    </w:p>
    <w:p w14:paraId="6814ECCC" w14:textId="77777777" w:rsidR="004E46D9" w:rsidRPr="004E46D9" w:rsidRDefault="004E46D9" w:rsidP="004E46D9">
      <w:pPr>
        <w:pStyle w:val="webbullet1"/>
        <w:rPr>
          <w:rStyle w:val="Hyperlink"/>
        </w:rPr>
      </w:pPr>
      <w:r w:rsidRPr="004E46D9">
        <w:rPr>
          <w:rStyle w:val="Hyperlink"/>
        </w:rPr>
        <w:fldChar w:fldCharType="end"/>
      </w:r>
      <w:bookmarkStart w:id="6" w:name="_Hlk221096991"/>
      <w:r w:rsidRPr="004E46D9">
        <w:rPr>
          <w:rStyle w:val="Hyperlink"/>
        </w:rPr>
        <w:fldChar w:fldCharType="begin"/>
      </w:r>
      <w:r w:rsidRPr="004E46D9">
        <w:rPr>
          <w:rStyle w:val="Hyperlink"/>
        </w:rPr>
        <w:instrText>HYPERLINK "https://www.cms.gov/Regulations-and-Guidance/Guidance/Manuals/Downloads/clm104c01.pdf"</w:instrText>
      </w:r>
      <w:r w:rsidRPr="004E46D9">
        <w:rPr>
          <w:rStyle w:val="Hyperlink"/>
        </w:rPr>
      </w:r>
      <w:r w:rsidRPr="004E46D9">
        <w:rPr>
          <w:rStyle w:val="Hyperlink"/>
        </w:rPr>
        <w:fldChar w:fldCharType="separate"/>
      </w:r>
      <w:r w:rsidRPr="004E46D9">
        <w:rPr>
          <w:rStyle w:val="Hyperlink"/>
        </w:rPr>
        <w:t>Medicare Claims Processing Manual, Publication 100-4, Chapter 1, Section 10.4</w:t>
      </w:r>
      <w:r w:rsidRPr="004E46D9">
        <w:rPr>
          <w:rStyle w:val="Hyperlink"/>
        </w:rPr>
        <w:fldChar w:fldCharType="end"/>
      </w:r>
      <w:bookmarkEnd w:id="6"/>
    </w:p>
    <w:p w14:paraId="05CD44BA" w14:textId="77777777" w:rsidR="004E46D9" w:rsidRPr="004E46D9" w:rsidRDefault="004E46D9" w:rsidP="004E46D9">
      <w:pPr>
        <w:pStyle w:val="webbullet1"/>
      </w:pPr>
      <w:hyperlink r:id="rId17" w:history="1">
        <w:r w:rsidRPr="004E46D9">
          <w:rPr>
            <w:rStyle w:val="Hyperlink"/>
          </w:rPr>
          <w:t>Patient Eligibility</w:t>
        </w:r>
      </w:hyperlink>
    </w:p>
    <w:p w14:paraId="724FC59F" w14:textId="77777777" w:rsidR="004E46D9" w:rsidRDefault="004E46D9" w:rsidP="00793740">
      <w:pPr>
        <w:pStyle w:val="webbullet1"/>
        <w:numPr>
          <w:ilvl w:val="0"/>
          <w:numId w:val="0"/>
        </w:numPr>
        <w:ind w:left="360"/>
      </w:pPr>
    </w:p>
    <w:sectPr w:rsidR="004E46D9"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22E6B"/>
    <w:multiLevelType w:val="multilevel"/>
    <w:tmpl w:val="E61A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B5AEB"/>
    <w:multiLevelType w:val="multilevel"/>
    <w:tmpl w:val="4274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EC6620"/>
    <w:multiLevelType w:val="multilevel"/>
    <w:tmpl w:val="5290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21CFA"/>
    <w:multiLevelType w:val="multilevel"/>
    <w:tmpl w:val="9D92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27275"/>
    <w:multiLevelType w:val="multilevel"/>
    <w:tmpl w:val="6E960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2921E0"/>
    <w:multiLevelType w:val="multilevel"/>
    <w:tmpl w:val="83E2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197AB5"/>
    <w:multiLevelType w:val="multilevel"/>
    <w:tmpl w:val="74C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E2B60"/>
    <w:multiLevelType w:val="multilevel"/>
    <w:tmpl w:val="793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75F0A"/>
    <w:multiLevelType w:val="multilevel"/>
    <w:tmpl w:val="C0BEF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FB5F02"/>
    <w:multiLevelType w:val="multilevel"/>
    <w:tmpl w:val="45F8C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30621647">
    <w:abstractNumId w:val="12"/>
  </w:num>
  <w:num w:numId="2" w16cid:durableId="1583221974">
    <w:abstractNumId w:val="22"/>
  </w:num>
  <w:num w:numId="3" w16cid:durableId="752436987">
    <w:abstractNumId w:val="11"/>
  </w:num>
  <w:num w:numId="4" w16cid:durableId="99180299">
    <w:abstractNumId w:val="26"/>
  </w:num>
  <w:num w:numId="5" w16cid:durableId="384331608">
    <w:abstractNumId w:val="19"/>
  </w:num>
  <w:num w:numId="6" w16cid:durableId="2072078663">
    <w:abstractNumId w:val="23"/>
  </w:num>
  <w:num w:numId="7" w16cid:durableId="2133087570">
    <w:abstractNumId w:val="19"/>
  </w:num>
  <w:num w:numId="8" w16cid:durableId="447554929">
    <w:abstractNumId w:val="26"/>
  </w:num>
  <w:num w:numId="9" w16cid:durableId="18137922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311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9736789">
    <w:abstractNumId w:val="12"/>
  </w:num>
  <w:num w:numId="12" w16cid:durableId="85537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7592307">
    <w:abstractNumId w:val="9"/>
  </w:num>
  <w:num w:numId="14" w16cid:durableId="683554810">
    <w:abstractNumId w:val="7"/>
  </w:num>
  <w:num w:numId="15" w16cid:durableId="119542879">
    <w:abstractNumId w:val="6"/>
  </w:num>
  <w:num w:numId="16" w16cid:durableId="863786887">
    <w:abstractNumId w:val="5"/>
  </w:num>
  <w:num w:numId="17" w16cid:durableId="699744385">
    <w:abstractNumId w:val="4"/>
  </w:num>
  <w:num w:numId="18" w16cid:durableId="96030014">
    <w:abstractNumId w:val="8"/>
  </w:num>
  <w:num w:numId="19" w16cid:durableId="2061663851">
    <w:abstractNumId w:val="3"/>
  </w:num>
  <w:num w:numId="20" w16cid:durableId="1414208221">
    <w:abstractNumId w:val="2"/>
  </w:num>
  <w:num w:numId="21" w16cid:durableId="573318899">
    <w:abstractNumId w:val="1"/>
  </w:num>
  <w:num w:numId="22" w16cid:durableId="691305441">
    <w:abstractNumId w:val="0"/>
  </w:num>
  <w:num w:numId="23" w16cid:durableId="1681539007">
    <w:abstractNumId w:val="25"/>
  </w:num>
  <w:num w:numId="24" w16cid:durableId="273904981">
    <w:abstractNumId w:val="21"/>
  </w:num>
  <w:num w:numId="25" w16cid:durableId="1360156447">
    <w:abstractNumId w:val="18"/>
  </w:num>
  <w:num w:numId="26" w16cid:durableId="353771698">
    <w:abstractNumId w:val="20"/>
  </w:num>
  <w:num w:numId="27" w16cid:durableId="313529449">
    <w:abstractNumId w:val="14"/>
  </w:num>
  <w:num w:numId="28" w16cid:durableId="828013296">
    <w:abstractNumId w:val="16"/>
  </w:num>
  <w:num w:numId="29" w16cid:durableId="387730856">
    <w:abstractNumId w:val="17"/>
  </w:num>
  <w:num w:numId="30" w16cid:durableId="541554507">
    <w:abstractNumId w:val="24"/>
  </w:num>
  <w:num w:numId="31" w16cid:durableId="1250384887">
    <w:abstractNumId w:val="15"/>
  </w:num>
  <w:num w:numId="32" w16cid:durableId="497237467">
    <w:abstractNumId w:val="22"/>
    <w:lvlOverride w:ilvl="0">
      <w:startOverride w:val="1"/>
    </w:lvlOverride>
  </w:num>
  <w:num w:numId="33" w16cid:durableId="1494489172">
    <w:abstractNumId w:val="22"/>
    <w:lvlOverride w:ilvl="0">
      <w:startOverride w:val="1"/>
    </w:lvlOverride>
  </w:num>
  <w:num w:numId="34" w16cid:durableId="1844277570">
    <w:abstractNumId w:val="13"/>
  </w:num>
  <w:num w:numId="35" w16cid:durableId="11857574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918"/>
    <w:rsid w:val="00066621"/>
    <w:rsid w:val="000C1D4A"/>
    <w:rsid w:val="000C5B7D"/>
    <w:rsid w:val="00123EE0"/>
    <w:rsid w:val="00130DF9"/>
    <w:rsid w:val="00145DCD"/>
    <w:rsid w:val="00157BBA"/>
    <w:rsid w:val="00167E31"/>
    <w:rsid w:val="001A0AB9"/>
    <w:rsid w:val="001C4E73"/>
    <w:rsid w:val="00202A27"/>
    <w:rsid w:val="00272E35"/>
    <w:rsid w:val="002759B1"/>
    <w:rsid w:val="002A36B9"/>
    <w:rsid w:val="00343ABB"/>
    <w:rsid w:val="00391469"/>
    <w:rsid w:val="003E362E"/>
    <w:rsid w:val="003F0CBE"/>
    <w:rsid w:val="004162AE"/>
    <w:rsid w:val="004714B0"/>
    <w:rsid w:val="0049375B"/>
    <w:rsid w:val="004C71CD"/>
    <w:rsid w:val="004E46D9"/>
    <w:rsid w:val="005136AB"/>
    <w:rsid w:val="005B0EDF"/>
    <w:rsid w:val="005C42EF"/>
    <w:rsid w:val="00601E3A"/>
    <w:rsid w:val="00617F82"/>
    <w:rsid w:val="00632C35"/>
    <w:rsid w:val="00656758"/>
    <w:rsid w:val="006812B8"/>
    <w:rsid w:val="00690182"/>
    <w:rsid w:val="00691F2B"/>
    <w:rsid w:val="006A7B9A"/>
    <w:rsid w:val="006E3869"/>
    <w:rsid w:val="0073729C"/>
    <w:rsid w:val="007925FC"/>
    <w:rsid w:val="00793740"/>
    <w:rsid w:val="007B479D"/>
    <w:rsid w:val="007D24BF"/>
    <w:rsid w:val="00803F9D"/>
    <w:rsid w:val="008123FC"/>
    <w:rsid w:val="00861C2B"/>
    <w:rsid w:val="0088323E"/>
    <w:rsid w:val="008A0E01"/>
    <w:rsid w:val="008F343B"/>
    <w:rsid w:val="009312AD"/>
    <w:rsid w:val="00974ECA"/>
    <w:rsid w:val="009811F7"/>
    <w:rsid w:val="00986FB4"/>
    <w:rsid w:val="00A24A93"/>
    <w:rsid w:val="00A94983"/>
    <w:rsid w:val="00AC642B"/>
    <w:rsid w:val="00AE4A58"/>
    <w:rsid w:val="00AF69E3"/>
    <w:rsid w:val="00B06918"/>
    <w:rsid w:val="00B2746C"/>
    <w:rsid w:val="00B349FB"/>
    <w:rsid w:val="00B4198D"/>
    <w:rsid w:val="00B77F89"/>
    <w:rsid w:val="00BE35C1"/>
    <w:rsid w:val="00C02984"/>
    <w:rsid w:val="00C16A79"/>
    <w:rsid w:val="00C261AE"/>
    <w:rsid w:val="00C53105"/>
    <w:rsid w:val="00C719C3"/>
    <w:rsid w:val="00C72223"/>
    <w:rsid w:val="00CE6A68"/>
    <w:rsid w:val="00D05EB8"/>
    <w:rsid w:val="00D11DDE"/>
    <w:rsid w:val="00D20A38"/>
    <w:rsid w:val="00D806F3"/>
    <w:rsid w:val="00D90417"/>
    <w:rsid w:val="00DA6EE4"/>
    <w:rsid w:val="00E26117"/>
    <w:rsid w:val="00E60C0C"/>
    <w:rsid w:val="00E635D6"/>
    <w:rsid w:val="00EA68CB"/>
    <w:rsid w:val="00ED78D3"/>
    <w:rsid w:val="00F17DC9"/>
    <w:rsid w:val="00F23054"/>
    <w:rsid w:val="00FA5EF8"/>
    <w:rsid w:val="00FC3EBB"/>
    <w:rsid w:val="00FC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CE473"/>
  <w15:docId w15:val="{35131D43-DA2E-40CC-891D-B476991E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167E31"/>
    <w:rPr>
      <w:rFonts w:ascii="Times New Roman" w:hAnsi="Times New Roman"/>
      <w:sz w:val="24"/>
      <w:szCs w:val="24"/>
    </w:rPr>
  </w:style>
  <w:style w:type="character" w:styleId="Strong">
    <w:name w:val="Strong"/>
    <w:basedOn w:val="DefaultParagraphFont"/>
    <w:uiPriority w:val="22"/>
    <w:qFormat/>
    <w:locked/>
    <w:rsid w:val="00167E31"/>
    <w:rPr>
      <w:b/>
      <w:bCs/>
    </w:rPr>
  </w:style>
  <w:style w:type="character" w:styleId="UnresolvedMention">
    <w:name w:val="Unresolved Mention"/>
    <w:basedOn w:val="DefaultParagraphFont"/>
    <w:uiPriority w:val="99"/>
    <w:semiHidden/>
    <w:unhideWhenUsed/>
    <w:rsid w:val="00D20A38"/>
    <w:rPr>
      <w:color w:val="605E5C"/>
      <w:shd w:val="clear" w:color="auto" w:fill="E1DFDD"/>
    </w:rPr>
  </w:style>
  <w:style w:type="paragraph" w:styleId="CommentText">
    <w:name w:val="annotation text"/>
    <w:basedOn w:val="Normal"/>
    <w:link w:val="CommentTextChar"/>
    <w:uiPriority w:val="99"/>
    <w:semiHidden/>
    <w:unhideWhenUsed/>
    <w:locked/>
    <w:rsid w:val="004E46D9"/>
    <w:rPr>
      <w:sz w:val="20"/>
      <w:szCs w:val="20"/>
    </w:rPr>
  </w:style>
  <w:style w:type="character" w:customStyle="1" w:styleId="CommentTextChar">
    <w:name w:val="Comment Text Char"/>
    <w:basedOn w:val="DefaultParagraphFont"/>
    <w:link w:val="CommentText"/>
    <w:uiPriority w:val="99"/>
    <w:rsid w:val="004E46D9"/>
    <w:rPr>
      <w:sz w:val="20"/>
      <w:szCs w:val="20"/>
    </w:rPr>
  </w:style>
  <w:style w:type="character" w:styleId="CommentReference">
    <w:name w:val="annotation reference"/>
    <w:basedOn w:val="DefaultParagraphFont"/>
    <w:uiPriority w:val="99"/>
    <w:semiHidden/>
    <w:unhideWhenUsed/>
    <w:lock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0821">
      <w:bodyDiv w:val="1"/>
      <w:marLeft w:val="0"/>
      <w:marRight w:val="0"/>
      <w:marTop w:val="0"/>
      <w:marBottom w:val="0"/>
      <w:divBdr>
        <w:top w:val="none" w:sz="0" w:space="0" w:color="auto"/>
        <w:left w:val="none" w:sz="0" w:space="0" w:color="auto"/>
        <w:bottom w:val="none" w:sz="0" w:space="0" w:color="auto"/>
        <w:right w:val="none" w:sz="0" w:space="0" w:color="auto"/>
      </w:divBdr>
      <w:divsChild>
        <w:div w:id="282855178">
          <w:marLeft w:val="0"/>
          <w:marRight w:val="0"/>
          <w:marTop w:val="0"/>
          <w:marBottom w:val="0"/>
          <w:divBdr>
            <w:top w:val="none" w:sz="0" w:space="0" w:color="auto"/>
            <w:left w:val="none" w:sz="0" w:space="0" w:color="auto"/>
            <w:bottom w:val="none" w:sz="0" w:space="0" w:color="auto"/>
            <w:right w:val="none" w:sz="0" w:space="0" w:color="auto"/>
          </w:divBdr>
          <w:divsChild>
            <w:div w:id="1917009578">
              <w:marLeft w:val="0"/>
              <w:marRight w:val="0"/>
              <w:marTop w:val="0"/>
              <w:marBottom w:val="0"/>
              <w:divBdr>
                <w:top w:val="none" w:sz="0" w:space="0" w:color="auto"/>
                <w:left w:val="none" w:sz="0" w:space="0" w:color="auto"/>
                <w:bottom w:val="none" w:sz="0" w:space="0" w:color="auto"/>
                <w:right w:val="none" w:sz="0" w:space="0" w:color="auto"/>
              </w:divBdr>
              <w:divsChild>
                <w:div w:id="702293481">
                  <w:marLeft w:val="0"/>
                  <w:marRight w:val="0"/>
                  <w:marTop w:val="0"/>
                  <w:marBottom w:val="0"/>
                  <w:divBdr>
                    <w:top w:val="none" w:sz="0" w:space="0" w:color="auto"/>
                    <w:left w:val="none" w:sz="0" w:space="0" w:color="auto"/>
                    <w:bottom w:val="none" w:sz="0" w:space="0" w:color="auto"/>
                    <w:right w:val="none" w:sz="0" w:space="0" w:color="auto"/>
                  </w:divBdr>
                  <w:divsChild>
                    <w:div w:id="557789269">
                      <w:marLeft w:val="0"/>
                      <w:marRight w:val="0"/>
                      <w:marTop w:val="0"/>
                      <w:marBottom w:val="0"/>
                      <w:divBdr>
                        <w:top w:val="none" w:sz="0" w:space="0" w:color="auto"/>
                        <w:left w:val="none" w:sz="0" w:space="0" w:color="auto"/>
                        <w:bottom w:val="none" w:sz="0" w:space="0" w:color="auto"/>
                        <w:right w:val="none" w:sz="0" w:space="0" w:color="auto"/>
                      </w:divBdr>
                      <w:divsChild>
                        <w:div w:id="298000348">
                          <w:marLeft w:val="0"/>
                          <w:marRight w:val="0"/>
                          <w:marTop w:val="0"/>
                          <w:marBottom w:val="0"/>
                          <w:divBdr>
                            <w:top w:val="none" w:sz="0" w:space="0" w:color="auto"/>
                            <w:left w:val="none" w:sz="0" w:space="0" w:color="auto"/>
                            <w:bottom w:val="none" w:sz="0" w:space="0" w:color="auto"/>
                            <w:right w:val="none" w:sz="0" w:space="0" w:color="auto"/>
                          </w:divBdr>
                        </w:div>
                        <w:div w:id="1104032232">
                          <w:marLeft w:val="0"/>
                          <w:marRight w:val="0"/>
                          <w:marTop w:val="0"/>
                          <w:marBottom w:val="0"/>
                          <w:divBdr>
                            <w:top w:val="none" w:sz="0" w:space="0" w:color="auto"/>
                            <w:left w:val="none" w:sz="0" w:space="0" w:color="auto"/>
                            <w:bottom w:val="none" w:sz="0" w:space="0" w:color="auto"/>
                            <w:right w:val="none" w:sz="0" w:space="0" w:color="auto"/>
                          </w:divBdr>
                        </w:div>
                      </w:divsChild>
                    </w:div>
                    <w:div w:id="1858691110">
                      <w:marLeft w:val="0"/>
                      <w:marRight w:val="0"/>
                      <w:marTop w:val="0"/>
                      <w:marBottom w:val="0"/>
                      <w:divBdr>
                        <w:top w:val="none" w:sz="0" w:space="0" w:color="auto"/>
                        <w:left w:val="none" w:sz="0" w:space="0" w:color="auto"/>
                        <w:bottom w:val="none" w:sz="0" w:space="0" w:color="auto"/>
                        <w:right w:val="none" w:sz="0" w:space="0" w:color="auto"/>
                      </w:divBdr>
                      <w:divsChild>
                        <w:div w:id="12335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761816">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993023198">
      <w:bodyDiv w:val="1"/>
      <w:marLeft w:val="0"/>
      <w:marRight w:val="0"/>
      <w:marTop w:val="0"/>
      <w:marBottom w:val="0"/>
      <w:divBdr>
        <w:top w:val="none" w:sz="0" w:space="0" w:color="auto"/>
        <w:left w:val="none" w:sz="0" w:space="0" w:color="auto"/>
        <w:bottom w:val="none" w:sz="0" w:space="0" w:color="auto"/>
        <w:right w:val="none" w:sz="0" w:space="0" w:color="auto"/>
      </w:divBdr>
    </w:div>
    <w:div w:id="1052579441">
      <w:bodyDiv w:val="1"/>
      <w:marLeft w:val="0"/>
      <w:marRight w:val="0"/>
      <w:marTop w:val="0"/>
      <w:marBottom w:val="0"/>
      <w:divBdr>
        <w:top w:val="none" w:sz="0" w:space="0" w:color="auto"/>
        <w:left w:val="none" w:sz="0" w:space="0" w:color="auto"/>
        <w:bottom w:val="none" w:sz="0" w:space="0" w:color="auto"/>
        <w:right w:val="none" w:sz="0" w:space="0" w:color="auto"/>
      </w:divBdr>
    </w:div>
    <w:div w:id="1215695071">
      <w:bodyDiv w:val="1"/>
      <w:marLeft w:val="0"/>
      <w:marRight w:val="0"/>
      <w:marTop w:val="0"/>
      <w:marBottom w:val="0"/>
      <w:divBdr>
        <w:top w:val="none" w:sz="0" w:space="0" w:color="auto"/>
        <w:left w:val="none" w:sz="0" w:space="0" w:color="auto"/>
        <w:bottom w:val="none" w:sz="0" w:space="0" w:color="auto"/>
        <w:right w:val="none" w:sz="0" w:space="0" w:color="auto"/>
      </w:divBdr>
    </w:div>
    <w:div w:id="17426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6-title42-vol2/pdf/CFR-2016-title42-vol2-sec411-4.pdf" TargetMode="External"/><Relationship Id="rId13" Type="http://schemas.openxmlformats.org/officeDocument/2006/relationships/hyperlink" Target="https://www.ssa.gov/life-events/incarce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vitas-solutions.com/webcenter/portal/Novitasphere_JL" TargetMode="External"/><Relationship Id="rId17" Type="http://schemas.openxmlformats.org/officeDocument/2006/relationships/hyperlink" Target="https://www.novitas-solutions.com/webcenter/portal/MedicareJL/pagebyid?contentId=00008251" TargetMode="External"/><Relationship Id="rId2" Type="http://schemas.openxmlformats.org/officeDocument/2006/relationships/customXml" Target="../customXml/item2.xml"/><Relationship Id="rId16" Type="http://schemas.openxmlformats.org/officeDocument/2006/relationships/hyperlink" Target="https://www.cms.gov/files/document/mln908084-patients-custody-under-penal-authorit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vitas-solutions.com/webcenter/portal/Novitasphere_JH" TargetMode="External"/><Relationship Id="rId5" Type="http://schemas.openxmlformats.org/officeDocument/2006/relationships/styles" Target="styles.xml"/><Relationship Id="rId15" Type="http://schemas.openxmlformats.org/officeDocument/2006/relationships/hyperlink" Target="https://www.novitas-solutions.com/webcenter/content/conn/UCM_Repository/uuid/dDocName:00008291" TargetMode="External"/><Relationship Id="rId10" Type="http://schemas.openxmlformats.org/officeDocument/2006/relationships/hyperlink" Target="https://www.gpo.gov/fdsys/pkg/CFR-2016-title42-vol2/pdf/CFR-2016-title42-vol2-sec411-8.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gpo.gov/fdsys/pkg/CFR-2016-title42-vol2/pdf/CFR-2016-title42-vol2-sec411-6.pdf" TargetMode="External"/><Relationship Id="rId14" Type="http://schemas.openxmlformats.org/officeDocument/2006/relationships/hyperlink" Target="https://www.novitas-solutions.com/webcenter/content/conn/UCM_Repository/uuid/dDocName:000044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08245-2B3E-4827-B841-BA192757FA3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32362B51-BB2D-4B41-B323-1280D3F0A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8C5631-3D34-48F1-89C1-86D20BC3C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2</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Donald, Takia</dc:creator>
  <cp:lastModifiedBy>Keefer, Felecia</cp:lastModifiedBy>
  <cp:revision>2</cp:revision>
  <cp:lastPrinted>2013-08-22T18:47:00Z</cp:lastPrinted>
  <dcterms:created xsi:type="dcterms:W3CDTF">2026-02-10T12:25:00Z</dcterms:created>
  <dcterms:modified xsi:type="dcterms:W3CDTF">2026-02-10T12:25:00Z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