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4A22" w14:textId="635BD5A4" w:rsidR="00580F4F" w:rsidRPr="00766E70" w:rsidRDefault="00580F4F" w:rsidP="00766E70">
      <w:pPr>
        <w:pStyle w:val="webheader"/>
      </w:pPr>
      <w:r w:rsidRPr="00766E70">
        <w:t xml:space="preserve">Physical </w:t>
      </w:r>
      <w:r w:rsidR="00692A55">
        <w:t>t</w:t>
      </w:r>
      <w:r w:rsidRPr="00766E70">
        <w:t xml:space="preserve">herapy </w:t>
      </w:r>
      <w:r w:rsidR="00692A55">
        <w:t>p</w:t>
      </w:r>
      <w:r w:rsidRPr="00766E70">
        <w:t xml:space="preserve">lan of </w:t>
      </w:r>
      <w:r w:rsidR="00692A55">
        <w:t>c</w:t>
      </w:r>
      <w:r w:rsidRPr="00766E70">
        <w:t xml:space="preserve">are </w:t>
      </w:r>
      <w:r w:rsidR="00692A55">
        <w:t>r</w:t>
      </w:r>
      <w:r w:rsidRPr="00766E70">
        <w:t>equirements</w:t>
      </w:r>
    </w:p>
    <w:p w14:paraId="094F4A23" w14:textId="53B5AA48" w:rsidR="00532866" w:rsidRPr="00A002A2" w:rsidRDefault="00532866" w:rsidP="00A002A2">
      <w:pPr>
        <w:pStyle w:val="webnormal"/>
      </w:pPr>
      <w:r w:rsidRPr="00A002A2">
        <w:t>Novitas Solutions</w:t>
      </w:r>
      <w:r w:rsidR="00580F4F" w:rsidRPr="00A002A2">
        <w:t xml:space="preserve"> in </w:t>
      </w:r>
      <w:r w:rsidRPr="00A002A2">
        <w:t>collaboration</w:t>
      </w:r>
      <w:r w:rsidR="00580F4F" w:rsidRPr="00A002A2">
        <w:t xml:space="preserve"> with Centers for Medicare &amp; Medicaid Services</w:t>
      </w:r>
      <w:r w:rsidR="00A002A2" w:rsidRPr="00A002A2">
        <w:t xml:space="preserve"> (CMS</w:t>
      </w:r>
      <w:r w:rsidR="00580F4F" w:rsidRPr="00A002A2">
        <w:t>) is continuing to focus on lowering the Comprehensive Error Rate Testing</w:t>
      </w:r>
      <w:r w:rsidR="00A002A2" w:rsidRPr="00A002A2">
        <w:t xml:space="preserve"> (CERT</w:t>
      </w:r>
      <w:r w:rsidR="00580F4F" w:rsidRPr="00A002A2">
        <w:t xml:space="preserve">) claims paid error rate. </w:t>
      </w:r>
    </w:p>
    <w:p w14:paraId="094F4A24" w14:textId="77777777" w:rsidR="00580F4F" w:rsidRPr="00A002A2" w:rsidRDefault="00580F4F" w:rsidP="00A002A2">
      <w:pPr>
        <w:pStyle w:val="webnormal"/>
      </w:pPr>
      <w:r w:rsidRPr="00A002A2">
        <w:t>Medicare defines rehabilitative services as those services that lead to "recovery or improvement in function and, when possible, restoration to a previous level of health and well-being."</w:t>
      </w:r>
    </w:p>
    <w:p w14:paraId="094F4A25" w14:textId="77777777" w:rsidR="00532866" w:rsidRPr="00A002A2" w:rsidRDefault="00580F4F" w:rsidP="00A002A2">
      <w:pPr>
        <w:pStyle w:val="webnormal"/>
      </w:pPr>
      <w:r w:rsidRPr="00A002A2">
        <w:t>Outpatient rehabilitation therapy services must relate directly to a written treatment plan (also known as the plan of care or plan of treatment).</w:t>
      </w:r>
      <w:r w:rsidR="00766E70" w:rsidRPr="00A002A2">
        <w:t xml:space="preserve"> </w:t>
      </w:r>
      <w:r w:rsidRPr="00A002A2">
        <w:t xml:space="preserve">The plan of care </w:t>
      </w:r>
      <w:r w:rsidR="00532866" w:rsidRPr="00A002A2">
        <w:t>must contain</w:t>
      </w:r>
      <w:r w:rsidRPr="00A002A2">
        <w:t xml:space="preserve">, at </w:t>
      </w:r>
      <w:r w:rsidR="00532866" w:rsidRPr="00A002A2">
        <w:t xml:space="preserve">a </w:t>
      </w:r>
      <w:r w:rsidRPr="00A002A2">
        <w:t>minimum</w:t>
      </w:r>
      <w:r w:rsidR="00532866" w:rsidRPr="00A002A2">
        <w:t>:</w:t>
      </w:r>
      <w:r w:rsidRPr="00A002A2">
        <w:t xml:space="preserve"> </w:t>
      </w:r>
    </w:p>
    <w:p w14:paraId="094F4A26" w14:textId="77777777" w:rsidR="00532866" w:rsidRDefault="008F6392" w:rsidP="00532866">
      <w:pPr>
        <w:pStyle w:val="webbullet1"/>
      </w:pPr>
      <w:r>
        <w:t>D</w:t>
      </w:r>
      <w:r w:rsidR="00580F4F" w:rsidRPr="00580F4F">
        <w:t>iagnoses</w:t>
      </w:r>
    </w:p>
    <w:p w14:paraId="094F4A27" w14:textId="77777777" w:rsidR="00532866" w:rsidRDefault="008F6392" w:rsidP="00532866">
      <w:pPr>
        <w:pStyle w:val="webbullet1"/>
      </w:pPr>
      <w:r>
        <w:t>L</w:t>
      </w:r>
      <w:r w:rsidR="00532866">
        <w:t>ong-</w:t>
      </w:r>
      <w:r w:rsidR="00580F4F" w:rsidRPr="00580F4F">
        <w:t>term treatment goals</w:t>
      </w:r>
    </w:p>
    <w:p w14:paraId="094F4A28" w14:textId="77777777" w:rsidR="00580F4F" w:rsidRDefault="008F6392" w:rsidP="00532866">
      <w:pPr>
        <w:pStyle w:val="webbullet1"/>
      </w:pPr>
      <w:r>
        <w:t>T</w:t>
      </w:r>
      <w:r w:rsidR="00580F4F" w:rsidRPr="00580F4F">
        <w:t>ype, amount, duration, and f</w:t>
      </w:r>
      <w:r w:rsidR="00532866">
        <w:t>requency of therapy services</w:t>
      </w:r>
    </w:p>
    <w:p w14:paraId="44CBFB7D" w14:textId="13531F4E" w:rsidR="00DA20FE" w:rsidRPr="00580F4F" w:rsidRDefault="00DA20FE" w:rsidP="00532866">
      <w:pPr>
        <w:pStyle w:val="webbullet1"/>
      </w:pPr>
      <w:r>
        <w:t xml:space="preserve">Medical </w:t>
      </w:r>
      <w:r w:rsidR="005C542E">
        <w:t>Necessity</w:t>
      </w:r>
    </w:p>
    <w:p w14:paraId="094F4A29" w14:textId="77777777" w:rsidR="00495729" w:rsidRDefault="00580F4F" w:rsidP="00580F4F">
      <w:pPr>
        <w:pStyle w:val="webnormal"/>
      </w:pPr>
      <w:r w:rsidRPr="00580F4F">
        <w:t>The plan of care is established by a physician, non-physician practitioner, physical therapist, an occupational therapist, or a speech-language pathologist</w:t>
      </w:r>
      <w:r w:rsidR="00532866">
        <w:t>.</w:t>
      </w:r>
      <w:r w:rsidR="00532866" w:rsidRPr="00580F4F">
        <w:t> </w:t>
      </w:r>
    </w:p>
    <w:p w14:paraId="094F4A2A" w14:textId="77777777" w:rsidR="00495729" w:rsidRDefault="00495729" w:rsidP="00692A55">
      <w:pPr>
        <w:pStyle w:val="webnormal"/>
      </w:pPr>
      <w:r w:rsidRPr="00495729">
        <w:rPr>
          <w:rStyle w:val="webbold"/>
        </w:rPr>
        <w:t>Note</w:t>
      </w:r>
      <w:r>
        <w:t>:</w:t>
      </w:r>
      <w:r w:rsidRPr="00495729">
        <w:t xml:space="preserve"> </w:t>
      </w:r>
      <w:r w:rsidRPr="00692A55">
        <w:t>Chiropractors and Dentists may not refer patient for therapy services nor certify therapy plans of care</w:t>
      </w:r>
      <w:r w:rsidRPr="00BC70F2">
        <w:rPr>
          <w:rStyle w:val="webbold"/>
        </w:rPr>
        <w:t>.</w:t>
      </w:r>
    </w:p>
    <w:p w14:paraId="66E78C6A" w14:textId="1890CFEE" w:rsidR="00BC70F2" w:rsidRDefault="00532866" w:rsidP="00580F4F">
      <w:pPr>
        <w:pStyle w:val="webnormal"/>
      </w:pPr>
      <w:r w:rsidRPr="00580F4F">
        <w:t>The</w:t>
      </w:r>
      <w:r w:rsidR="00580F4F" w:rsidRPr="00580F4F">
        <w:t xml:space="preserve"> signature and professional identity of the person who established the plan of care and the date it was established must be docu</w:t>
      </w:r>
      <w:r w:rsidR="00580F4F">
        <w:t>mented within the plan of care.</w:t>
      </w:r>
      <w:r w:rsidR="00A627DE">
        <w:t xml:space="preserve"> </w:t>
      </w:r>
      <w:r w:rsidR="00580F4F" w:rsidRPr="00580F4F">
        <w:t>The plan of care must be established before the therapy</w:t>
      </w:r>
      <w:r w:rsidR="00580F4F">
        <w:t xml:space="preserve"> treatment can begin.</w:t>
      </w:r>
    </w:p>
    <w:p w14:paraId="7619BFE1" w14:textId="13D17E50" w:rsidR="00DA20FE" w:rsidRDefault="00BC70F2" w:rsidP="00BC70F2">
      <w:pPr>
        <w:pStyle w:val="webheader4"/>
      </w:pPr>
      <w:r>
        <w:t>Certification</w:t>
      </w:r>
    </w:p>
    <w:p w14:paraId="78BD6D93" w14:textId="77777777" w:rsidR="00DA20FE" w:rsidRPr="00BC70F2" w:rsidRDefault="00580F4F" w:rsidP="00BC70F2">
      <w:pPr>
        <w:pStyle w:val="webbullet1"/>
      </w:pPr>
      <w:r w:rsidRPr="00BC70F2">
        <w:t>Establishing the plan of care is different than certifying the plan of care.</w:t>
      </w:r>
    </w:p>
    <w:p w14:paraId="203B4D2A" w14:textId="1C17D781" w:rsidR="00DA20FE" w:rsidRPr="00BC70F2" w:rsidRDefault="00580F4F" w:rsidP="00BC70F2">
      <w:pPr>
        <w:pStyle w:val="webbullet1"/>
      </w:pPr>
      <w:r w:rsidRPr="00BC70F2">
        <w:t>Medicare states that certification of the plan of care requires a dated signature on the plan of care, or some other document, by the physician or non-physician practitioner who is the primary care provider for the patient.</w:t>
      </w:r>
    </w:p>
    <w:p w14:paraId="5005AC9C" w14:textId="77777777" w:rsidR="00DA20FE" w:rsidRPr="00BC70F2" w:rsidRDefault="00A627DE" w:rsidP="00BC70F2">
      <w:pPr>
        <w:pStyle w:val="webbullet1"/>
      </w:pPr>
      <w:r w:rsidRPr="00BC70F2">
        <w:t xml:space="preserve"> </w:t>
      </w:r>
      <w:r w:rsidR="00580F4F" w:rsidRPr="00BC70F2">
        <w:t>In the absence of a formal certification document, a physician</w:t>
      </w:r>
      <w:r w:rsidR="00532866" w:rsidRPr="00BC70F2">
        <w:t>'s</w:t>
      </w:r>
      <w:r w:rsidR="00580F4F" w:rsidRPr="00BC70F2">
        <w:t xml:space="preserve"> progress note indicating the physician's agreement with the plan of care is acceptable.</w:t>
      </w:r>
    </w:p>
    <w:p w14:paraId="312767D2" w14:textId="77777777" w:rsidR="00DA20FE" w:rsidRPr="00BC70F2" w:rsidRDefault="00580F4F" w:rsidP="00BC70F2">
      <w:pPr>
        <w:pStyle w:val="webbullet1"/>
      </w:pPr>
      <w:r w:rsidRPr="00BC70F2">
        <w:t xml:space="preserve"> The certification of the plan of care should occur as soon as possible after it is established or within 30 calendar days of the initial therapy treatment.</w:t>
      </w:r>
      <w:r w:rsidR="00A627DE" w:rsidRPr="00BC70F2">
        <w:t xml:space="preserve"> </w:t>
      </w:r>
    </w:p>
    <w:p w14:paraId="094F4A2C" w14:textId="4FC6C2BF" w:rsidR="00532866" w:rsidRDefault="00580F4F" w:rsidP="00BC70F2">
      <w:pPr>
        <w:pStyle w:val="webbullet1"/>
      </w:pPr>
      <w:r w:rsidRPr="00BC70F2">
        <w:t xml:space="preserve">Payment may be denied if the physician does not certify the plan of care; therefore, the therapist should forward the plan to the physician as soon as it is established. </w:t>
      </w:r>
    </w:p>
    <w:p w14:paraId="2A85D9FD" w14:textId="77777777" w:rsidR="00372C03" w:rsidRPr="00372C03" w:rsidRDefault="00372C03" w:rsidP="00372C03">
      <w:pPr>
        <w:pStyle w:val="webindent1"/>
      </w:pPr>
      <w:r w:rsidRPr="00372C03">
        <w:t>For dates of services on and after January 1, 2025, CMS finalized amendments to provide an exception to the physician and NPP signature requirement on the therapist-established treatment plan for the initial certification in cases where:</w:t>
      </w:r>
    </w:p>
    <w:p w14:paraId="6C089440" w14:textId="77777777" w:rsidR="00372C03" w:rsidRPr="00372C03" w:rsidRDefault="00372C03" w:rsidP="00372C03">
      <w:pPr>
        <w:pStyle w:val="webbullet3"/>
      </w:pPr>
      <w:r w:rsidRPr="00372C03">
        <w:t>A written order or referral from the patient’s physician or NPP is on file</w:t>
      </w:r>
    </w:p>
    <w:p w14:paraId="202C572F" w14:textId="77777777" w:rsidR="00372C03" w:rsidRPr="00372C03" w:rsidRDefault="00372C03" w:rsidP="00372C03">
      <w:pPr>
        <w:pStyle w:val="webbullet3"/>
      </w:pPr>
      <w:r w:rsidRPr="00372C03">
        <w:t>The therapist has documented evidence they transmitted the treatment plan to the physician or NPP within 30 days of the initial evaluation</w:t>
      </w:r>
    </w:p>
    <w:p w14:paraId="172A02F7" w14:textId="77777777" w:rsidR="00DA20FE" w:rsidRPr="00BC70F2" w:rsidRDefault="00580F4F" w:rsidP="00BC70F2">
      <w:pPr>
        <w:pStyle w:val="webbullet1"/>
      </w:pPr>
      <w:r w:rsidRPr="00BC70F2">
        <w:t>Recertification of the plan of care, which also requires a physician or non-physician signature and date, should occur whenever there is a significant change in the plan or every 90 days from the initial plan of care cert</w:t>
      </w:r>
      <w:r w:rsidR="00532866" w:rsidRPr="00BC70F2">
        <w:t>ification.</w:t>
      </w:r>
    </w:p>
    <w:p w14:paraId="0E5F3475" w14:textId="6428BAEA" w:rsidR="00DA20FE" w:rsidRDefault="00532866" w:rsidP="00580F4F">
      <w:pPr>
        <w:pStyle w:val="webbullet1"/>
      </w:pPr>
      <w:r w:rsidRPr="00BC70F2">
        <w:t xml:space="preserve">Verbal orders for </w:t>
      </w:r>
      <w:r w:rsidR="00580F4F" w:rsidRPr="00BC70F2">
        <w:t>certification or recertification of the plan of care must be signed and dated by the physician/non-physician practitioner within 14 calendar days.</w:t>
      </w:r>
    </w:p>
    <w:p w14:paraId="5C02B80A" w14:textId="4554D5F5" w:rsidR="00BC70F2" w:rsidRDefault="00BC70F2" w:rsidP="00BC70F2">
      <w:pPr>
        <w:pStyle w:val="webheader4"/>
      </w:pPr>
      <w:r>
        <w:t xml:space="preserve">Documentation </w:t>
      </w:r>
      <w:r w:rsidR="00692A55">
        <w:t>r</w:t>
      </w:r>
      <w:r>
        <w:t>equirements</w:t>
      </w:r>
    </w:p>
    <w:p w14:paraId="094F4A2E" w14:textId="77777777" w:rsidR="00580F4F" w:rsidRPr="00580F4F" w:rsidRDefault="00532866" w:rsidP="00580F4F">
      <w:pPr>
        <w:pStyle w:val="webnormal"/>
      </w:pPr>
      <w:r>
        <w:lastRenderedPageBreak/>
        <w:t>T</w:t>
      </w:r>
      <w:r w:rsidR="00580F4F" w:rsidRPr="00580F4F">
        <w:t>o avoid an error and the denial of services, when submitting documentation for review, be sure to:</w:t>
      </w:r>
    </w:p>
    <w:p w14:paraId="094F4A2F" w14:textId="77777777" w:rsidR="00532866" w:rsidRDefault="00532866" w:rsidP="00532866">
      <w:pPr>
        <w:pStyle w:val="webbullet1"/>
      </w:pPr>
      <w:r>
        <w:t>E</w:t>
      </w:r>
      <w:r w:rsidR="00580F4F" w:rsidRPr="00580F4F">
        <w:t>stablish a complete initial plan of ca</w:t>
      </w:r>
      <w:r>
        <w:t xml:space="preserve">re to </w:t>
      </w:r>
      <w:r w:rsidR="00580F4F" w:rsidRPr="00580F4F">
        <w:t>include</w:t>
      </w:r>
      <w:r>
        <w:t>:</w:t>
      </w:r>
    </w:p>
    <w:p w14:paraId="094F4A30" w14:textId="77777777" w:rsidR="00A627DE" w:rsidRDefault="00A002A2" w:rsidP="00532866">
      <w:pPr>
        <w:pStyle w:val="webbullet2"/>
      </w:pPr>
      <w:r>
        <w:t>S</w:t>
      </w:r>
      <w:r w:rsidR="00A627DE">
        <w:t>ignature</w:t>
      </w:r>
    </w:p>
    <w:p w14:paraId="094F4A31" w14:textId="77777777" w:rsidR="00A627DE" w:rsidRPr="00A002A2" w:rsidRDefault="00A002A2" w:rsidP="00A002A2">
      <w:pPr>
        <w:pStyle w:val="webbullet2"/>
      </w:pPr>
      <w:r w:rsidRPr="00A002A2">
        <w:t>Professional</w:t>
      </w:r>
      <w:r w:rsidR="00580F4F" w:rsidRPr="00A002A2">
        <w:t xml:space="preserve"> iden</w:t>
      </w:r>
      <w:r w:rsidR="00A627DE" w:rsidRPr="00A002A2">
        <w:t>tification (i.e. PT, OT, etc.)</w:t>
      </w:r>
    </w:p>
    <w:p w14:paraId="094F4A32" w14:textId="77777777" w:rsidR="00580F4F" w:rsidRPr="00580F4F" w:rsidRDefault="00A002A2" w:rsidP="00A627DE">
      <w:pPr>
        <w:pStyle w:val="webbullet2"/>
      </w:pPr>
      <w:r>
        <w:t>D</w:t>
      </w:r>
      <w:r w:rsidR="00A627DE">
        <w:t>ate the plan was established</w:t>
      </w:r>
    </w:p>
    <w:p w14:paraId="094F4A33" w14:textId="77777777" w:rsidR="00580F4F" w:rsidRPr="00A002A2" w:rsidRDefault="00580F4F" w:rsidP="00A002A2">
      <w:pPr>
        <w:pStyle w:val="webbullet1"/>
      </w:pPr>
      <w:r w:rsidRPr="00A002A2">
        <w:t>Ensure that the plan of care is certified (recertified when appropriate) with a physician/non-physician practitioner signature and date.</w:t>
      </w:r>
    </w:p>
    <w:p w14:paraId="094F4A34" w14:textId="77777777" w:rsidR="00A627DE" w:rsidRDefault="00580F4F" w:rsidP="00580F4F">
      <w:pPr>
        <w:pStyle w:val="webbullet1"/>
      </w:pPr>
      <w:r w:rsidRPr="00580F4F">
        <w:t>Clearly document when the plan of care has been modified, including how it was modified and why the previous goals could not be met.</w:t>
      </w:r>
    </w:p>
    <w:p w14:paraId="094F4A35" w14:textId="62A0FE5B" w:rsidR="00580F4F" w:rsidRDefault="00580F4F" w:rsidP="00D923B1">
      <w:pPr>
        <w:pStyle w:val="webheader2"/>
      </w:pPr>
      <w:r w:rsidRPr="00D923B1">
        <w:t>References</w:t>
      </w:r>
    </w:p>
    <w:p w14:paraId="5ECE2A98" w14:textId="55745D04" w:rsidR="007C5197" w:rsidRPr="007C5197" w:rsidRDefault="00692A55" w:rsidP="007C5197">
      <w:pPr>
        <w:pStyle w:val="webbullet1"/>
      </w:pPr>
      <w:hyperlink r:id="rId9" w:history="1">
        <w:r w:rsidR="007C5197" w:rsidRPr="007C5197">
          <w:rPr>
            <w:rStyle w:val="Hyperlink"/>
          </w:rPr>
          <w:t>MLN Matters Article MM13887, Medicare Physician Fee Schedule Final Rule Summary: CY 2025</w:t>
        </w:r>
      </w:hyperlink>
    </w:p>
    <w:p w14:paraId="094F4A36" w14:textId="77777777" w:rsidR="00580F4F" w:rsidRPr="00A002A2" w:rsidRDefault="00580F4F" w:rsidP="00495729">
      <w:pPr>
        <w:pStyle w:val="webbullet1"/>
      </w:pPr>
      <w:r w:rsidRPr="00A002A2">
        <w:t xml:space="preserve">CMS </w:t>
      </w:r>
      <w:r w:rsidR="00A627DE" w:rsidRPr="00A002A2">
        <w:t>Benefit Policy Manual</w:t>
      </w:r>
      <w:r w:rsidRPr="00A002A2">
        <w:t xml:space="preserve">, </w:t>
      </w:r>
      <w:hyperlink r:id="rId10" w:tgtFrame="_blank" w:history="1">
        <w:r w:rsidRPr="00A002A2">
          <w:rPr>
            <w:rStyle w:val="Hyperlink"/>
          </w:rPr>
          <w:t>Publication 100-02, Chapter 15, section 220</w:t>
        </w:r>
      </w:hyperlink>
    </w:p>
    <w:p w14:paraId="094F4A37" w14:textId="77777777" w:rsidR="008123FC" w:rsidRDefault="00580F4F" w:rsidP="00495729">
      <w:pPr>
        <w:pStyle w:val="webbullet1"/>
        <w:rPr>
          <w:rStyle w:val="Hyperlink"/>
        </w:rPr>
      </w:pPr>
      <w:r w:rsidRPr="00A002A2">
        <w:t xml:space="preserve">CMS </w:t>
      </w:r>
      <w:r w:rsidR="00A627DE" w:rsidRPr="00A002A2">
        <w:t>Claims Processing Manual</w:t>
      </w:r>
      <w:r w:rsidRPr="00A002A2">
        <w:t xml:space="preserve">, </w:t>
      </w:r>
      <w:hyperlink r:id="rId11" w:tgtFrame="_blank" w:history="1">
        <w:r w:rsidRPr="00A002A2">
          <w:rPr>
            <w:rStyle w:val="Hyperlink"/>
          </w:rPr>
          <w:t>Publication 100-04, Chapter 5, section 20</w:t>
        </w:r>
      </w:hyperlink>
    </w:p>
    <w:p w14:paraId="094F4A38" w14:textId="77777777" w:rsidR="00495729" w:rsidRPr="00A002A2" w:rsidRDefault="00692A55" w:rsidP="00495729">
      <w:pPr>
        <w:pStyle w:val="webbullet1"/>
      </w:pPr>
      <w:hyperlink r:id="rId12" w:history="1">
        <w:r w:rsidR="00495729" w:rsidRPr="00495729">
          <w:rPr>
            <w:rStyle w:val="Hyperlink"/>
          </w:rPr>
          <w:t>Physical, Occupational, and Speech Therapy Services</w:t>
        </w:r>
      </w:hyperlink>
    </w:p>
    <w:sectPr w:rsidR="00495729" w:rsidRPr="00A002A2" w:rsidSect="00691F2B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8431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6E3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9A1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EC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C8B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4A5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E3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02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1EA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437C8"/>
    <w:multiLevelType w:val="multilevel"/>
    <w:tmpl w:val="465A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4435F9"/>
    <w:multiLevelType w:val="hybridMultilevel"/>
    <w:tmpl w:val="BF967C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1213365">
    <w:abstractNumId w:val="11"/>
  </w:num>
  <w:num w:numId="2" w16cid:durableId="2019382033">
    <w:abstractNumId w:val="14"/>
  </w:num>
  <w:num w:numId="3" w16cid:durableId="1270047802">
    <w:abstractNumId w:val="10"/>
  </w:num>
  <w:num w:numId="4" w16cid:durableId="12730053">
    <w:abstractNumId w:val="17"/>
  </w:num>
  <w:num w:numId="5" w16cid:durableId="1693531473">
    <w:abstractNumId w:val="13"/>
  </w:num>
  <w:num w:numId="6" w16cid:durableId="815682024">
    <w:abstractNumId w:val="15"/>
  </w:num>
  <w:num w:numId="7" w16cid:durableId="680818945">
    <w:abstractNumId w:val="13"/>
  </w:num>
  <w:num w:numId="8" w16cid:durableId="946280598">
    <w:abstractNumId w:val="17"/>
  </w:num>
  <w:num w:numId="9" w16cid:durableId="632950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21335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90779">
    <w:abstractNumId w:val="11"/>
  </w:num>
  <w:num w:numId="12" w16cid:durableId="7535563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3722689">
    <w:abstractNumId w:val="9"/>
  </w:num>
  <w:num w:numId="14" w16cid:durableId="1423377851">
    <w:abstractNumId w:val="7"/>
  </w:num>
  <w:num w:numId="15" w16cid:durableId="609775325">
    <w:abstractNumId w:val="6"/>
  </w:num>
  <w:num w:numId="16" w16cid:durableId="321131182">
    <w:abstractNumId w:val="5"/>
  </w:num>
  <w:num w:numId="17" w16cid:durableId="5401149">
    <w:abstractNumId w:val="4"/>
  </w:num>
  <w:num w:numId="18" w16cid:durableId="1064257345">
    <w:abstractNumId w:val="8"/>
  </w:num>
  <w:num w:numId="19" w16cid:durableId="276984076">
    <w:abstractNumId w:val="3"/>
  </w:num>
  <w:num w:numId="20" w16cid:durableId="1359232451">
    <w:abstractNumId w:val="2"/>
  </w:num>
  <w:num w:numId="21" w16cid:durableId="1966080865">
    <w:abstractNumId w:val="1"/>
  </w:num>
  <w:num w:numId="22" w16cid:durableId="1592469720">
    <w:abstractNumId w:val="0"/>
  </w:num>
  <w:num w:numId="23" w16cid:durableId="53820120">
    <w:abstractNumId w:val="16"/>
  </w:num>
  <w:num w:numId="24" w16cid:durableId="55616945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8D0"/>
    <w:rsid w:val="000825FF"/>
    <w:rsid w:val="000B28D0"/>
    <w:rsid w:val="000C1D4A"/>
    <w:rsid w:val="000C2CAA"/>
    <w:rsid w:val="000E6347"/>
    <w:rsid w:val="00110196"/>
    <w:rsid w:val="00130DF9"/>
    <w:rsid w:val="001451B7"/>
    <w:rsid w:val="00145DCD"/>
    <w:rsid w:val="00157BBA"/>
    <w:rsid w:val="001A0AB9"/>
    <w:rsid w:val="001C4E73"/>
    <w:rsid w:val="001E244B"/>
    <w:rsid w:val="001E7A68"/>
    <w:rsid w:val="00202A27"/>
    <w:rsid w:val="0021662D"/>
    <w:rsid w:val="00272E35"/>
    <w:rsid w:val="003103A7"/>
    <w:rsid w:val="0033067A"/>
    <w:rsid w:val="00372C03"/>
    <w:rsid w:val="00391469"/>
    <w:rsid w:val="003A6562"/>
    <w:rsid w:val="004162AE"/>
    <w:rsid w:val="00445175"/>
    <w:rsid w:val="004714B0"/>
    <w:rsid w:val="0049375B"/>
    <w:rsid w:val="00495729"/>
    <w:rsid w:val="00514788"/>
    <w:rsid w:val="00532866"/>
    <w:rsid w:val="00580F4F"/>
    <w:rsid w:val="005958C5"/>
    <w:rsid w:val="005C542E"/>
    <w:rsid w:val="00632C35"/>
    <w:rsid w:val="00691F2B"/>
    <w:rsid w:val="00692A55"/>
    <w:rsid w:val="006E3869"/>
    <w:rsid w:val="006F0D34"/>
    <w:rsid w:val="0073729C"/>
    <w:rsid w:val="00764D7F"/>
    <w:rsid w:val="00766E70"/>
    <w:rsid w:val="007925FC"/>
    <w:rsid w:val="007B479D"/>
    <w:rsid w:val="007C5197"/>
    <w:rsid w:val="007D24BF"/>
    <w:rsid w:val="00803F9D"/>
    <w:rsid w:val="008053F2"/>
    <w:rsid w:val="008123FC"/>
    <w:rsid w:val="00836D28"/>
    <w:rsid w:val="00861C2B"/>
    <w:rsid w:val="0088323E"/>
    <w:rsid w:val="008A0E01"/>
    <w:rsid w:val="008F343B"/>
    <w:rsid w:val="008F6392"/>
    <w:rsid w:val="00905DD2"/>
    <w:rsid w:val="009312AD"/>
    <w:rsid w:val="00943396"/>
    <w:rsid w:val="009811F7"/>
    <w:rsid w:val="00986FB4"/>
    <w:rsid w:val="00991C75"/>
    <w:rsid w:val="009B2ACD"/>
    <w:rsid w:val="009C6B4A"/>
    <w:rsid w:val="009E3E24"/>
    <w:rsid w:val="00A002A2"/>
    <w:rsid w:val="00A2773D"/>
    <w:rsid w:val="00A627DE"/>
    <w:rsid w:val="00AC3991"/>
    <w:rsid w:val="00B2746C"/>
    <w:rsid w:val="00BC70F2"/>
    <w:rsid w:val="00BD4776"/>
    <w:rsid w:val="00BE35C1"/>
    <w:rsid w:val="00C16A79"/>
    <w:rsid w:val="00C261AE"/>
    <w:rsid w:val="00C719C3"/>
    <w:rsid w:val="00CA2B7C"/>
    <w:rsid w:val="00D05EB8"/>
    <w:rsid w:val="00D11DDE"/>
    <w:rsid w:val="00D923B1"/>
    <w:rsid w:val="00DA20FE"/>
    <w:rsid w:val="00DC646F"/>
    <w:rsid w:val="00E273B1"/>
    <w:rsid w:val="00E417DB"/>
    <w:rsid w:val="00E60C0C"/>
    <w:rsid w:val="00E635D6"/>
    <w:rsid w:val="00E776CF"/>
    <w:rsid w:val="00E91C8E"/>
    <w:rsid w:val="00EA68CB"/>
    <w:rsid w:val="00F23054"/>
    <w:rsid w:val="00F42134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4F4A22"/>
  <w15:docId w15:val="{13223C40-1256-41AE-A6DF-D479DBA1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2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character" w:styleId="Strong">
    <w:name w:val="Strong"/>
    <w:basedOn w:val="DefaultParagraphFont"/>
    <w:uiPriority w:val="22"/>
    <w:qFormat/>
    <w:locked/>
    <w:rsid w:val="000B28D0"/>
    <w:rPr>
      <w:b/>
      <w:bCs/>
    </w:rPr>
  </w:style>
  <w:style w:type="paragraph" w:styleId="NormalWeb">
    <w:name w:val="Normal (Web)"/>
    <w:basedOn w:val="Normal"/>
    <w:uiPriority w:val="99"/>
    <w:semiHidden/>
    <w:unhideWhenUsed/>
    <w:locked/>
    <w:rsid w:val="000825FF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0825F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A2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DA20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0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A2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0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ms.gov/Research-Statistics-Data-and-Systems/Monitoring-Programs/Medical-Review/Downloads/TherapyCapSlidesv10_0905201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ms.gov/Regulations-and-Guidance/Guidance/Manuals/Downloads/clm104c05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cms.gov/Regulations-and-Guidance/Guidance/Manuals/Downloads/bp102c15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ms.gov/files/document/mm13887-medicare-physician-fee-schedule-final-rule-summary-cy-2025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8pl\Desktop\Web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6EF74-05C9-4B39-B711-4D99B56B7DCC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0C59D3-49A4-494A-864F-AE22354212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401D35-9B5D-4271-8B7A-FDBA659C9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BC0E24-F750-4765-8077-F30264420A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WebDocument.dotx</Template>
  <TotalTime>1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Company>FCSO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Blair, Barshaunna</dc:creator>
  <cp:lastModifiedBy>Keefer, Felecia</cp:lastModifiedBy>
  <cp:revision>2</cp:revision>
  <cp:lastPrinted>2013-08-22T18:47:00Z</cp:lastPrinted>
  <dcterms:created xsi:type="dcterms:W3CDTF">2025-05-30T18:11:00Z</dcterms:created>
  <dcterms:modified xsi:type="dcterms:W3CDTF">2025-05-30T18:11:00Z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