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5B37" w14:textId="74A1F76D" w:rsidR="000E385F" w:rsidRPr="0070501A" w:rsidRDefault="000E385F" w:rsidP="0070501A">
      <w:pPr>
        <w:pStyle w:val="webheader"/>
      </w:pPr>
      <w:bookmarkStart w:id="0" w:name="content"/>
      <w:r w:rsidRPr="0070501A">
        <w:t xml:space="preserve">Skilled </w:t>
      </w:r>
      <w:r w:rsidR="00274178">
        <w:t>n</w:t>
      </w:r>
      <w:r w:rsidRPr="0070501A">
        <w:t xml:space="preserve">ursing </w:t>
      </w:r>
      <w:r w:rsidR="00274178">
        <w:t>f</w:t>
      </w:r>
      <w:r w:rsidRPr="0070501A">
        <w:t xml:space="preserve">acility </w:t>
      </w:r>
      <w:r w:rsidR="00EB5735">
        <w:t xml:space="preserve">(SNF) </w:t>
      </w:r>
      <w:r w:rsidR="00274178">
        <w:t>b</w:t>
      </w:r>
      <w:r w:rsidRPr="0070501A">
        <w:t xml:space="preserve">enefits </w:t>
      </w:r>
      <w:r w:rsidR="00274178">
        <w:t>e</w:t>
      </w:r>
      <w:r w:rsidRPr="0070501A">
        <w:t xml:space="preserve">xhaust </w:t>
      </w:r>
      <w:bookmarkEnd w:id="0"/>
    </w:p>
    <w:p w14:paraId="46D9247F" w14:textId="4C21715D" w:rsidR="000E385F" w:rsidRPr="000E385F" w:rsidRDefault="000E385F" w:rsidP="000E385F">
      <w:pPr>
        <w:pStyle w:val="webnormal"/>
      </w:pPr>
      <w:r w:rsidRPr="000E385F">
        <w:t xml:space="preserve">A </w:t>
      </w:r>
      <w:r w:rsidR="0070501A">
        <w:t>SNF</w:t>
      </w:r>
      <w:r w:rsidRPr="000E385F">
        <w:t xml:space="preserve"> is required to submit a bill even though no benefits may be payable by Medicare.</w:t>
      </w:r>
      <w:r w:rsidR="00AF50AA">
        <w:t xml:space="preserve"> </w:t>
      </w:r>
      <w:r w:rsidRPr="000E385F">
        <w:t xml:space="preserve">Regardless </w:t>
      </w:r>
      <w:r w:rsidR="00AF50AA">
        <w:t xml:space="preserve">of </w:t>
      </w:r>
      <w:r w:rsidRPr="000E385F">
        <w:t xml:space="preserve">whether or not the services are covered by Medicare, </w:t>
      </w:r>
      <w:r w:rsidR="0070501A">
        <w:t>CMS</w:t>
      </w:r>
      <w:r w:rsidR="00FD481E">
        <w:t xml:space="preserve"> </w:t>
      </w:r>
      <w:r w:rsidRPr="000E385F">
        <w:t>maintain</w:t>
      </w:r>
      <w:r w:rsidR="00274178">
        <w:t>s</w:t>
      </w:r>
      <w:r w:rsidRPr="000E385F">
        <w:t xml:space="preserve"> a record of all inpatient services for each beneficiary.</w:t>
      </w:r>
      <w:r w:rsidR="00AF50AA">
        <w:t xml:space="preserve"> </w:t>
      </w:r>
      <w:r w:rsidRPr="000E385F">
        <w:t>This enables CMS to keep track of a beneficiary’s benefit period.</w:t>
      </w:r>
      <w:r w:rsidR="00AF50AA">
        <w:t xml:space="preserve"> </w:t>
      </w:r>
    </w:p>
    <w:p w14:paraId="1359FBF9" w14:textId="77777777" w:rsidR="000E385F" w:rsidRPr="000E385F" w:rsidRDefault="000E385F" w:rsidP="000E385F">
      <w:pPr>
        <w:pStyle w:val="webnormal"/>
      </w:pPr>
      <w:r w:rsidRPr="000E385F">
        <w:t xml:space="preserve">A SNF </w:t>
      </w:r>
      <w:r w:rsidRPr="000E385F">
        <w:rPr>
          <w:rStyle w:val="webbold"/>
        </w:rPr>
        <w:t>must</w:t>
      </w:r>
      <w:r w:rsidR="00885941">
        <w:rPr>
          <w:rStyle w:val="webbold"/>
        </w:rPr>
        <w:t xml:space="preserve"> </w:t>
      </w:r>
      <w:r w:rsidRPr="000E385F">
        <w:t xml:space="preserve">submit a benefits exhaust bill </w:t>
      </w:r>
      <w:r w:rsidRPr="000E385F">
        <w:rPr>
          <w:rStyle w:val="webbold"/>
        </w:rPr>
        <w:t>monthly</w:t>
      </w:r>
      <w:r w:rsidRPr="000E385F">
        <w:t xml:space="preserve"> for those patients that continue to receive skilled care and when there is a change in the level of care regardless of whether the benefits exhaust bill will be paid by Medicaid, a supplemental insurer, or private insurer.</w:t>
      </w:r>
      <w:r w:rsidR="00AF50AA">
        <w:t xml:space="preserve"> </w:t>
      </w:r>
    </w:p>
    <w:p w14:paraId="7E243F25" w14:textId="77777777" w:rsidR="000E385F" w:rsidRPr="000E385F" w:rsidRDefault="000E385F" w:rsidP="00FD481E">
      <w:pPr>
        <w:pStyle w:val="webheader2"/>
      </w:pPr>
      <w:r w:rsidRPr="000E385F">
        <w:t>Two types of benefits exhaust claims</w:t>
      </w:r>
    </w:p>
    <w:p w14:paraId="4F97576A" w14:textId="19A3B16C" w:rsidR="00AE0E18" w:rsidRDefault="000E385F" w:rsidP="000E385F">
      <w:pPr>
        <w:pStyle w:val="webbullet1"/>
      </w:pPr>
      <w:r w:rsidRPr="000E385F">
        <w:t>Full benefits exhaust claims</w:t>
      </w:r>
      <w:r w:rsidR="00EB5735">
        <w:t>:</w:t>
      </w:r>
    </w:p>
    <w:p w14:paraId="7C0169C7" w14:textId="1A3BC973" w:rsidR="000E385F" w:rsidRPr="000E385F" w:rsidRDefault="00AE0E18" w:rsidP="00AE0E18">
      <w:pPr>
        <w:pStyle w:val="webbullet2"/>
      </w:pPr>
      <w:r>
        <w:t>N</w:t>
      </w:r>
      <w:r w:rsidR="000E385F" w:rsidRPr="000E385F">
        <w:t xml:space="preserve">o benefit days remain in the beneficiary’s applicable benefit period for the submitted statement covers from/through date of the </w:t>
      </w:r>
      <w:r w:rsidR="00AA245A" w:rsidRPr="000E385F">
        <w:t>claim.</w:t>
      </w:r>
      <w:r w:rsidR="000E385F" w:rsidRPr="000E385F">
        <w:t xml:space="preserve"> </w:t>
      </w:r>
    </w:p>
    <w:p w14:paraId="5D43E330" w14:textId="37DA41FE" w:rsidR="00AE0E18" w:rsidRDefault="000E385F" w:rsidP="000E385F">
      <w:pPr>
        <w:pStyle w:val="webbullet1"/>
      </w:pPr>
      <w:r w:rsidRPr="000E385F">
        <w:t>Partial benefits exhaust claims</w:t>
      </w:r>
      <w:r w:rsidR="00EB5735">
        <w:t>:</w:t>
      </w:r>
    </w:p>
    <w:p w14:paraId="106F97DC" w14:textId="18D7133E" w:rsidR="000E385F" w:rsidRPr="000E385F" w:rsidRDefault="00AE0E18" w:rsidP="00AE0E18">
      <w:pPr>
        <w:pStyle w:val="webbullet2"/>
      </w:pPr>
      <w:r>
        <w:t>O</w:t>
      </w:r>
      <w:r w:rsidR="000E385F" w:rsidRPr="000E385F">
        <w:t xml:space="preserve">ne or some benefit days </w:t>
      </w:r>
      <w:r>
        <w:t xml:space="preserve">remain </w:t>
      </w:r>
      <w:r w:rsidR="000E385F" w:rsidRPr="000E385F">
        <w:t xml:space="preserve">in the beneficiary’s applicable benefit period for the submitted statement covers from/through date of the </w:t>
      </w:r>
      <w:r w:rsidR="00AA245A" w:rsidRPr="000E385F">
        <w:t>claim.</w:t>
      </w:r>
      <w:r w:rsidR="00AF50AA">
        <w:t xml:space="preserve"> </w:t>
      </w:r>
    </w:p>
    <w:p w14:paraId="24218A39" w14:textId="4A9D4DEF" w:rsidR="00FD481E" w:rsidRDefault="000E385F" w:rsidP="000E385F">
      <w:pPr>
        <w:pStyle w:val="webnormal"/>
      </w:pPr>
      <w:r w:rsidRPr="000E385F">
        <w:t xml:space="preserve">These bills are required in order to extend the beneficiary’s applicable benefit period posted in </w:t>
      </w:r>
      <w:r w:rsidR="00274178">
        <w:t>Common Working Files (</w:t>
      </w:r>
      <w:r w:rsidR="0070501A">
        <w:t>CWF</w:t>
      </w:r>
      <w:r w:rsidR="00274178">
        <w:t>)</w:t>
      </w:r>
      <w:r w:rsidRPr="000E385F">
        <w:t>.</w:t>
      </w:r>
      <w:r w:rsidR="00AF50AA">
        <w:t xml:space="preserve"> </w:t>
      </w:r>
      <w:r w:rsidRPr="000E385F">
        <w:t xml:space="preserve">When a change in level of care occurs after exhaustion of beneficiary’s covered days of care, the </w:t>
      </w:r>
      <w:r w:rsidR="00FD481E">
        <w:t>SNF</w:t>
      </w:r>
      <w:r w:rsidRPr="000E385F">
        <w:t xml:space="preserve"> must submit the benefits exhaust bill in the next billing cycle indicating that active care has ended for the beneficiary.</w:t>
      </w:r>
      <w:r w:rsidR="00AF50AA">
        <w:t xml:space="preserve"> </w:t>
      </w:r>
    </w:p>
    <w:p w14:paraId="35C06222" w14:textId="07444E19" w:rsidR="000E385F" w:rsidRPr="000E385F" w:rsidRDefault="000E385F" w:rsidP="000E385F">
      <w:pPr>
        <w:pStyle w:val="webnormal"/>
      </w:pPr>
      <w:r w:rsidRPr="00FD481E">
        <w:rPr>
          <w:rStyle w:val="webbold"/>
        </w:rPr>
        <w:t>Note:</w:t>
      </w:r>
      <w:r w:rsidRPr="000E385F">
        <w:t xml:space="preserve"> Part B 22</w:t>
      </w:r>
      <w:r w:rsidR="00EB5735">
        <w:t>X</w:t>
      </w:r>
      <w:r w:rsidRPr="000E385F">
        <w:t xml:space="preserve"> bill types must be submitted after the benefits exhaust claim has been submitted and processed. </w:t>
      </w:r>
    </w:p>
    <w:p w14:paraId="30817963" w14:textId="0D4AEB0F" w:rsidR="000E385F" w:rsidRPr="000E385F" w:rsidRDefault="00FD481E" w:rsidP="000E385F">
      <w:pPr>
        <w:pStyle w:val="webnormal"/>
      </w:pPr>
      <w:r>
        <w:t>You may bill</w:t>
      </w:r>
      <w:r w:rsidR="000E385F" w:rsidRPr="000E385F">
        <w:t xml:space="preserve"> benefits exhaust claims using the default</w:t>
      </w:r>
      <w:r w:rsidR="009B7B97">
        <w:t xml:space="preserve"> </w:t>
      </w:r>
      <w:r w:rsidR="009B7B97" w:rsidRPr="009B7B97">
        <w:t xml:space="preserve">Health Insurance Prospective Payment System </w:t>
      </w:r>
      <w:r w:rsidR="009B7B97">
        <w:t>(</w:t>
      </w:r>
      <w:r w:rsidR="000E385F" w:rsidRPr="000E385F">
        <w:t>HIPPS</w:t>
      </w:r>
      <w:r w:rsidR="009B7B97">
        <w:t>)</w:t>
      </w:r>
      <w:r w:rsidR="000E385F" w:rsidRPr="000E385F">
        <w:t xml:space="preserve"> code </w:t>
      </w:r>
      <w:r w:rsidR="008B607B">
        <w:t>ZZZZZ</w:t>
      </w:r>
      <w:r w:rsidR="000E385F" w:rsidRPr="000E385F">
        <w:t xml:space="preserve"> in addition to an appropriate room &amp; board revenue code only.</w:t>
      </w:r>
      <w:r w:rsidR="00AF50AA">
        <w:t xml:space="preserve"> </w:t>
      </w:r>
      <w:r w:rsidR="000E385F" w:rsidRPr="000E385F">
        <w:t>No further ancillary services need to be billed on these claims. Once you bill the default, it can</w:t>
      </w:r>
      <w:r w:rsidR="00AF50AA">
        <w:t>not be changed.</w:t>
      </w:r>
    </w:p>
    <w:p w14:paraId="721A85EE" w14:textId="77777777" w:rsidR="000E385F" w:rsidRPr="000E385F" w:rsidRDefault="000E385F" w:rsidP="000E385F">
      <w:pPr>
        <w:pStyle w:val="webnormal"/>
      </w:pPr>
      <w:r w:rsidRPr="000E385F">
        <w:t>SNF providers must submit benefits exhaust claims for those beneficiaries that continue to recei</w:t>
      </w:r>
      <w:r w:rsidR="00885941">
        <w:t>ve skilled services as follows:</w:t>
      </w:r>
    </w:p>
    <w:p w14:paraId="7E90F9C9" w14:textId="77777777" w:rsidR="000E385F" w:rsidRPr="00FD481E" w:rsidRDefault="000E385F" w:rsidP="00FD481E">
      <w:pPr>
        <w:pStyle w:val="webheader3"/>
      </w:pPr>
      <w:r w:rsidRPr="00FD481E">
        <w:rPr>
          <w:rStyle w:val="webbold"/>
          <w:rFonts w:ascii="Verdana" w:hAnsi="Verdana"/>
          <w:b/>
        </w:rPr>
        <w:t>Full or partial benefits exhaust claim</w:t>
      </w:r>
      <w:r w:rsidR="00AF50AA" w:rsidRPr="00FD481E">
        <w:t xml:space="preserve">           </w:t>
      </w:r>
    </w:p>
    <w:p w14:paraId="77264A6B" w14:textId="77777777" w:rsidR="00E055AF" w:rsidRDefault="00FD481E" w:rsidP="00FD481E">
      <w:pPr>
        <w:pStyle w:val="webbullet1"/>
      </w:pPr>
      <w:r>
        <w:t>U</w:t>
      </w:r>
      <w:r w:rsidR="000E385F" w:rsidRPr="00FD481E">
        <w:t xml:space="preserve">se appropriate covered </w:t>
      </w:r>
      <w:r w:rsidR="00E055AF">
        <w:t>type of bill (TOB):</w:t>
      </w:r>
    </w:p>
    <w:p w14:paraId="5FB2858C" w14:textId="0B1482D4" w:rsidR="00E055AF" w:rsidRDefault="000E385F" w:rsidP="00E055AF">
      <w:pPr>
        <w:pStyle w:val="webbullet2"/>
      </w:pPr>
      <w:r w:rsidRPr="00FD481E">
        <w:t>211, 212, 213 or 214 for SNF</w:t>
      </w:r>
      <w:r w:rsidR="00F333BC">
        <w:t>.</w:t>
      </w:r>
    </w:p>
    <w:p w14:paraId="2A51069B" w14:textId="2CEBB963" w:rsidR="00E055AF" w:rsidRDefault="000E385F">
      <w:pPr>
        <w:pStyle w:val="webbullet2"/>
      </w:pPr>
      <w:r w:rsidRPr="00FD481E">
        <w:t xml:space="preserve">181, 182, 183 or 184 for </w:t>
      </w:r>
      <w:r w:rsidR="00FD481E">
        <w:t xml:space="preserve">swing bed </w:t>
      </w:r>
      <w:r w:rsidR="00E055AF">
        <w:t>(SB)</w:t>
      </w:r>
      <w:r w:rsidR="00F333BC">
        <w:t>.</w:t>
      </w:r>
    </w:p>
    <w:p w14:paraId="10720FE7" w14:textId="68EB5CDD" w:rsidR="000E385F" w:rsidRPr="00FD481E" w:rsidRDefault="000E385F">
      <w:pPr>
        <w:pStyle w:val="webbullet2"/>
      </w:pPr>
      <w:r w:rsidRPr="00FD481E">
        <w:rPr>
          <w:rStyle w:val="webbold"/>
        </w:rPr>
        <w:t>Note:</w:t>
      </w:r>
      <w:r w:rsidR="00AF50AA" w:rsidRPr="00FD481E">
        <w:t xml:space="preserve"> </w:t>
      </w:r>
      <w:r w:rsidR="00E055AF">
        <w:t>TOBs</w:t>
      </w:r>
      <w:r w:rsidRPr="00FD481E">
        <w:t xml:space="preserve"> 210 or 180 should not be used for benefits exhaust claims. </w:t>
      </w:r>
    </w:p>
    <w:p w14:paraId="1E984B69" w14:textId="77777777" w:rsidR="00274178" w:rsidRDefault="000E385F" w:rsidP="00FD481E">
      <w:pPr>
        <w:pStyle w:val="webbullet1"/>
      </w:pPr>
      <w:r w:rsidRPr="00FD481E">
        <w:t xml:space="preserve">Covered </w:t>
      </w:r>
      <w:r w:rsidR="00274178">
        <w:t>d</w:t>
      </w:r>
      <w:r w:rsidRPr="00FD481E">
        <w:t xml:space="preserve">ays and </w:t>
      </w:r>
      <w:r w:rsidR="00274178">
        <w:t>c</w:t>
      </w:r>
      <w:r w:rsidRPr="00FD481E">
        <w:t>harges</w:t>
      </w:r>
      <w:r w:rsidR="00274178">
        <w:t>:</w:t>
      </w:r>
    </w:p>
    <w:p w14:paraId="02D8D482" w14:textId="2CB71A54" w:rsidR="000E385F" w:rsidRDefault="00FD481E" w:rsidP="00274178">
      <w:pPr>
        <w:pStyle w:val="webbullet2"/>
      </w:pPr>
      <w:r>
        <w:t>S</w:t>
      </w:r>
      <w:r w:rsidR="000E385F" w:rsidRPr="00FD481E">
        <w:t xml:space="preserve">ubmit all covered days and charges as if the beneficiary had </w:t>
      </w:r>
      <w:r>
        <w:t>d</w:t>
      </w:r>
      <w:r w:rsidR="000E385F" w:rsidRPr="00FD481E">
        <w:t>ays available</w:t>
      </w:r>
      <w:r w:rsidR="00274178">
        <w:t>.</w:t>
      </w:r>
    </w:p>
    <w:p w14:paraId="4ECE9E22" w14:textId="251A573D" w:rsidR="00274178" w:rsidRPr="00274178" w:rsidRDefault="00274178" w:rsidP="00274178">
      <w:pPr>
        <w:pStyle w:val="webbullet2"/>
      </w:pPr>
      <w:r>
        <w:rPr>
          <w:rFonts w:eastAsiaTheme="minorEastAsia"/>
        </w:rPr>
        <w:t>Occurrence code</w:t>
      </w:r>
      <w:r w:rsidR="00A929ED">
        <w:rPr>
          <w:rFonts w:eastAsiaTheme="minorEastAsia"/>
        </w:rPr>
        <w:t xml:space="preserve"> (OC)</w:t>
      </w:r>
      <w:r>
        <w:rPr>
          <w:rFonts w:eastAsiaTheme="minorEastAsia"/>
        </w:rPr>
        <w:t xml:space="preserve"> </w:t>
      </w:r>
      <w:r w:rsidRPr="00274178">
        <w:rPr>
          <w:rFonts w:eastAsiaTheme="minorEastAsia"/>
        </w:rPr>
        <w:t xml:space="preserve">A3 (benefits exhaust) and date will be applied by the </w:t>
      </w:r>
      <w:r w:rsidRPr="00274178">
        <w:t>Fiscal Intermediary Standard System</w:t>
      </w:r>
      <w:r>
        <w:t xml:space="preserve"> (</w:t>
      </w:r>
      <w:r w:rsidRPr="00274178">
        <w:rPr>
          <w:rFonts w:eastAsiaTheme="minorEastAsia"/>
        </w:rPr>
        <w:t>FISS</w:t>
      </w:r>
      <w:r>
        <w:rPr>
          <w:rFonts w:eastAsiaTheme="minorEastAsia"/>
        </w:rPr>
        <w:t>)</w:t>
      </w:r>
      <w:r w:rsidRPr="00274178">
        <w:rPr>
          <w:rFonts w:eastAsiaTheme="minorEastAsia"/>
        </w:rPr>
        <w:t xml:space="preserve"> system when the claim processes and the days and charges after benefits exhaust will be moved to non-covered</w:t>
      </w:r>
      <w:r>
        <w:rPr>
          <w:rFonts w:eastAsiaTheme="minorEastAsia"/>
        </w:rPr>
        <w:t>.</w:t>
      </w:r>
    </w:p>
    <w:p w14:paraId="7F038EA3" w14:textId="77777777" w:rsidR="00274178" w:rsidRDefault="000E385F" w:rsidP="00FD481E">
      <w:pPr>
        <w:pStyle w:val="webbullet1"/>
      </w:pPr>
      <w:r w:rsidRPr="00FD481E">
        <w:t xml:space="preserve">Use appropriate </w:t>
      </w:r>
      <w:r w:rsidR="00274178">
        <w:t xml:space="preserve">patient status </w:t>
      </w:r>
      <w:r w:rsidRPr="00FD481E">
        <w:t>code</w:t>
      </w:r>
      <w:r w:rsidR="00274178">
        <w:t>.</w:t>
      </w:r>
    </w:p>
    <w:p w14:paraId="535D2C8F" w14:textId="29BE14B2" w:rsidR="000E385F" w:rsidRDefault="00274178" w:rsidP="00FD481E">
      <w:pPr>
        <w:pStyle w:val="webbullet1"/>
      </w:pPr>
      <w:r w:rsidRPr="00274178">
        <w:t xml:space="preserve">Value </w:t>
      </w:r>
      <w:r>
        <w:t>c</w:t>
      </w:r>
      <w:r w:rsidRPr="00274178">
        <w:t xml:space="preserve">ode </w:t>
      </w:r>
      <w:r w:rsidR="00E055AF">
        <w:t xml:space="preserve">(VC) </w:t>
      </w:r>
      <w:r w:rsidRPr="00274178">
        <w:t xml:space="preserve">09 (First year coinsurance amount) 1.00 (If applicable, </w:t>
      </w:r>
      <w:r w:rsidR="00E055AF">
        <w:t>F</w:t>
      </w:r>
      <w:r w:rsidRPr="00274178">
        <w:t>ISS will assign the correct coinsurance amount based off the CWF response).</w:t>
      </w:r>
      <w:r w:rsidR="00AF50AA" w:rsidRPr="00FD481E">
        <w:t xml:space="preserve"> </w:t>
      </w:r>
    </w:p>
    <w:p w14:paraId="5101CE05" w14:textId="1ED7999B" w:rsidR="00E055AF" w:rsidRPr="00E055AF" w:rsidRDefault="00E055AF" w:rsidP="00E055AF">
      <w:pPr>
        <w:pStyle w:val="webbullet1"/>
      </w:pPr>
      <w:r w:rsidRPr="00E055AF">
        <w:rPr>
          <w:rFonts w:eastAsiaTheme="minorEastAsia"/>
        </w:rPr>
        <w:t>O</w:t>
      </w:r>
      <w:r>
        <w:rPr>
          <w:rFonts w:eastAsiaTheme="minorEastAsia"/>
        </w:rPr>
        <w:t>ccurrence span code</w:t>
      </w:r>
      <w:r w:rsidRPr="00E055AF">
        <w:rPr>
          <w:rFonts w:eastAsiaTheme="minorEastAsia"/>
        </w:rPr>
        <w:t xml:space="preserve"> </w:t>
      </w:r>
      <w:r>
        <w:rPr>
          <w:rFonts w:eastAsiaTheme="minorEastAsia"/>
        </w:rPr>
        <w:t xml:space="preserve">(OSC) </w:t>
      </w:r>
      <w:r w:rsidRPr="00E055AF">
        <w:rPr>
          <w:rFonts w:eastAsiaTheme="minorEastAsia"/>
        </w:rPr>
        <w:t>70  with qualifying hospital stay dates</w:t>
      </w:r>
      <w:r>
        <w:rPr>
          <w:rFonts w:eastAsiaTheme="minorEastAsia"/>
        </w:rPr>
        <w:t>.</w:t>
      </w:r>
    </w:p>
    <w:p w14:paraId="4F22FB24" w14:textId="659ACC58" w:rsidR="00E055AF" w:rsidRPr="00E055AF" w:rsidRDefault="00E055AF" w:rsidP="00E055AF">
      <w:pPr>
        <w:pStyle w:val="webbullet1"/>
      </w:pPr>
      <w:r w:rsidRPr="00E055AF">
        <w:rPr>
          <w:rFonts w:eastAsiaTheme="minorEastAsia"/>
        </w:rPr>
        <w:t xml:space="preserve">HIPPS </w:t>
      </w:r>
      <w:r w:rsidR="009D5E6E">
        <w:rPr>
          <w:rFonts w:eastAsiaTheme="minorEastAsia"/>
        </w:rPr>
        <w:t>c</w:t>
      </w:r>
      <w:r w:rsidRPr="00E055AF">
        <w:rPr>
          <w:rFonts w:eastAsiaTheme="minorEastAsia"/>
        </w:rPr>
        <w:t>ode:</w:t>
      </w:r>
    </w:p>
    <w:p w14:paraId="0C09623B" w14:textId="0E09EF45" w:rsidR="00E055AF" w:rsidRPr="00E055AF" w:rsidRDefault="00E055AF" w:rsidP="00E055AF">
      <w:pPr>
        <w:pStyle w:val="webbullet2"/>
      </w:pPr>
      <w:r w:rsidRPr="00E055AF">
        <w:rPr>
          <w:rFonts w:eastAsiaTheme="minorEastAsia"/>
        </w:rPr>
        <w:lastRenderedPageBreak/>
        <w:t>Default HIPPS code ZZZZZ for full benefits exhaust</w:t>
      </w:r>
      <w:r w:rsidR="00AA245A">
        <w:rPr>
          <w:rFonts w:eastAsiaTheme="minorEastAsia"/>
        </w:rPr>
        <w:t>.</w:t>
      </w:r>
    </w:p>
    <w:p w14:paraId="5F0A3637" w14:textId="479950F5" w:rsidR="00E055AF" w:rsidRPr="00E055AF" w:rsidRDefault="00E055AF" w:rsidP="00E055AF">
      <w:pPr>
        <w:pStyle w:val="webbullet2"/>
      </w:pPr>
      <w:r w:rsidRPr="00E055AF">
        <w:rPr>
          <w:rFonts w:eastAsiaTheme="minorEastAsia"/>
        </w:rPr>
        <w:t xml:space="preserve">Add </w:t>
      </w:r>
      <w:r>
        <w:rPr>
          <w:rFonts w:eastAsiaTheme="minorEastAsia"/>
        </w:rPr>
        <w:t>OC</w:t>
      </w:r>
      <w:r w:rsidRPr="00E055AF">
        <w:rPr>
          <w:rFonts w:eastAsiaTheme="minorEastAsia"/>
        </w:rPr>
        <w:t xml:space="preserve"> 50 and </w:t>
      </w:r>
      <w:r>
        <w:rPr>
          <w:rFonts w:eastAsiaTheme="minorEastAsia"/>
        </w:rPr>
        <w:t>assessment reference date (</w:t>
      </w:r>
      <w:r w:rsidRPr="00E055AF">
        <w:rPr>
          <w:rFonts w:eastAsiaTheme="minorEastAsia"/>
        </w:rPr>
        <w:t>ARD</w:t>
      </w:r>
      <w:r>
        <w:rPr>
          <w:rFonts w:eastAsiaTheme="minorEastAsia"/>
        </w:rPr>
        <w:t>)</w:t>
      </w:r>
      <w:r w:rsidRPr="00E055AF">
        <w:rPr>
          <w:rFonts w:eastAsiaTheme="minorEastAsia"/>
        </w:rPr>
        <w:t xml:space="preserve"> date if not billing the default code</w:t>
      </w:r>
    </w:p>
    <w:p w14:paraId="357FFD2E" w14:textId="13E74F6D" w:rsidR="00E055AF" w:rsidRPr="00E055AF" w:rsidRDefault="00E055AF" w:rsidP="00E055AF">
      <w:pPr>
        <w:pStyle w:val="webbullet1"/>
      </w:pPr>
      <w:r w:rsidRPr="00E055AF">
        <w:rPr>
          <w:rFonts w:eastAsiaTheme="minorEastAsia"/>
        </w:rPr>
        <w:t>Add remarks related to full or partial benefits exhaust</w:t>
      </w:r>
      <w:r>
        <w:rPr>
          <w:rFonts w:eastAsiaTheme="minorEastAsia"/>
        </w:rPr>
        <w:t>.</w:t>
      </w:r>
    </w:p>
    <w:p w14:paraId="0A209280" w14:textId="698B539B" w:rsidR="00E055AF" w:rsidRPr="006E0B59" w:rsidRDefault="00E055AF" w:rsidP="00E055AF">
      <w:pPr>
        <w:pStyle w:val="webbullet1"/>
      </w:pPr>
      <w:r w:rsidRPr="00E055AF">
        <w:rPr>
          <w:rFonts w:eastAsiaTheme="minorEastAsia"/>
        </w:rPr>
        <w:t>Submit any Part B services provided after skilled care ended, including therapy, on a TOB 22X after benefits exhaust claim processes</w:t>
      </w:r>
      <w:r>
        <w:rPr>
          <w:rFonts w:eastAsiaTheme="minorEastAsia"/>
        </w:rPr>
        <w:t>.</w:t>
      </w:r>
    </w:p>
    <w:p w14:paraId="211363B0" w14:textId="4E020370" w:rsidR="006E0B59" w:rsidRPr="006E0B59" w:rsidRDefault="006E0B59" w:rsidP="006E0B59">
      <w:pPr>
        <w:pStyle w:val="webimage"/>
        <w:rPr>
          <w:rFonts w:eastAsiaTheme="minorEastAsia"/>
        </w:rPr>
      </w:pPr>
      <w:r w:rsidRPr="006E0B59">
        <w:rPr>
          <w:noProof/>
        </w:rPr>
        <w:drawing>
          <wp:inline distT="0" distB="0" distL="0" distR="0" wp14:anchorId="3E4AC9B6" wp14:editId="0AEC5D9C">
            <wp:extent cx="6858000" cy="2948305"/>
            <wp:effectExtent l="0" t="0" r="0" b="4445"/>
            <wp:docPr id="5" name="Picture 4" descr="Benefits exhaust claim">
              <a:extLst xmlns:a="http://schemas.openxmlformats.org/drawingml/2006/main">
                <a:ext uri="{FF2B5EF4-FFF2-40B4-BE49-F238E27FC236}">
                  <a16:creationId xmlns:a16="http://schemas.microsoft.com/office/drawing/2014/main" id="{9B5E8240-CE9E-DF24-A96A-1D1E1796A2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Benefits exhaust claim">
                      <a:extLst>
                        <a:ext uri="{FF2B5EF4-FFF2-40B4-BE49-F238E27FC236}">
                          <a16:creationId xmlns:a16="http://schemas.microsoft.com/office/drawing/2014/main" id="{9B5E8240-CE9E-DF24-A96A-1D1E1796A2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4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833FAC" w14:textId="77777777" w:rsidR="000E385F" w:rsidRPr="00D60DC1" w:rsidRDefault="000E385F" w:rsidP="00D60DC1">
      <w:pPr>
        <w:pStyle w:val="webheader3"/>
      </w:pPr>
      <w:r w:rsidRPr="00D60DC1">
        <w:t xml:space="preserve">Benefits exhaust claim with a drop in level of care within the </w:t>
      </w:r>
      <w:r w:rsidR="00AF50AA" w:rsidRPr="00D60DC1">
        <w:t xml:space="preserve">same </w:t>
      </w:r>
      <w:r w:rsidRPr="00D60DC1">
        <w:t xml:space="preserve">month </w:t>
      </w:r>
      <w:r w:rsidR="00D60DC1" w:rsidRPr="00D60DC1">
        <w:t>(</w:t>
      </w:r>
      <w:r w:rsidRPr="00D60DC1">
        <w:t>patient remains in Medicare-certified area</w:t>
      </w:r>
      <w:r w:rsidR="00D60DC1" w:rsidRPr="00D60DC1">
        <w:t>)</w:t>
      </w:r>
    </w:p>
    <w:p w14:paraId="6CA80308" w14:textId="77777777" w:rsidR="00E055AF" w:rsidRDefault="000E385F" w:rsidP="00FD481E">
      <w:pPr>
        <w:pStyle w:val="webbullet1"/>
      </w:pPr>
      <w:r w:rsidRPr="000E385F">
        <w:t xml:space="preserve">Use appropriate </w:t>
      </w:r>
      <w:r w:rsidR="00E055AF">
        <w:t>TOB:</w:t>
      </w:r>
    </w:p>
    <w:p w14:paraId="180F9CD2" w14:textId="62B4658C" w:rsidR="00E055AF" w:rsidRDefault="00E055AF" w:rsidP="00E055AF">
      <w:pPr>
        <w:pStyle w:val="webbullet2"/>
      </w:pPr>
      <w:r>
        <w:t xml:space="preserve">TOB </w:t>
      </w:r>
      <w:r w:rsidR="000E385F" w:rsidRPr="00FD481E">
        <w:t>212 or 213 for SNF</w:t>
      </w:r>
      <w:r w:rsidR="00F333BC">
        <w:t>.</w:t>
      </w:r>
    </w:p>
    <w:p w14:paraId="10E4D207" w14:textId="3DA8A445" w:rsidR="00E055AF" w:rsidRPr="00E055AF" w:rsidRDefault="00E055AF" w:rsidP="00E055AF">
      <w:pPr>
        <w:pStyle w:val="webbullet2"/>
      </w:pPr>
      <w:r w:rsidRPr="00E055AF">
        <w:t xml:space="preserve">TOB </w:t>
      </w:r>
      <w:r w:rsidR="000E385F" w:rsidRPr="00E055AF">
        <w:t>182 or 183 for SB</w:t>
      </w:r>
      <w:r w:rsidR="00F333BC">
        <w:t>.</w:t>
      </w:r>
    </w:p>
    <w:p w14:paraId="75F8A0C8" w14:textId="46817E5A" w:rsidR="000E385F" w:rsidRPr="000E385F" w:rsidRDefault="000E385F" w:rsidP="00E055AF">
      <w:pPr>
        <w:pStyle w:val="webbullet2"/>
      </w:pPr>
      <w:r w:rsidRPr="009D5E6E">
        <w:rPr>
          <w:rStyle w:val="webbold"/>
        </w:rPr>
        <w:t>No</w:t>
      </w:r>
      <w:r w:rsidRPr="0070501A">
        <w:rPr>
          <w:rStyle w:val="webbold"/>
        </w:rPr>
        <w:t>te:</w:t>
      </w:r>
      <w:r w:rsidR="00AF50AA">
        <w:t xml:space="preserve"> </w:t>
      </w:r>
      <w:r w:rsidRPr="000E385F">
        <w:t>Bill types 210 or 180 should not be used for benefits exhaust claims</w:t>
      </w:r>
      <w:r w:rsidR="00E055AF">
        <w:t>.</w:t>
      </w:r>
    </w:p>
    <w:p w14:paraId="4E21F3C1" w14:textId="64978972" w:rsidR="00E055AF" w:rsidRPr="00E055AF" w:rsidRDefault="00E055AF" w:rsidP="00E055AF">
      <w:pPr>
        <w:pStyle w:val="webbullet1"/>
      </w:pPr>
      <w:r w:rsidRPr="00E055AF">
        <w:rPr>
          <w:rFonts w:eastAsiaTheme="minorEastAsia"/>
        </w:rPr>
        <w:t>OSC 70 with qualifying hospital stay dates.</w:t>
      </w:r>
    </w:p>
    <w:p w14:paraId="0E22621B" w14:textId="77777777" w:rsidR="00E055AF" w:rsidRPr="00E055AF" w:rsidRDefault="00E055AF" w:rsidP="00E055AF">
      <w:pPr>
        <w:pStyle w:val="webbullet1"/>
      </w:pPr>
      <w:r w:rsidRPr="00E055AF">
        <w:t>Covered days and charges:</w:t>
      </w:r>
    </w:p>
    <w:p w14:paraId="581A5875" w14:textId="3591CD0B" w:rsidR="00E055AF" w:rsidRPr="00E055AF" w:rsidRDefault="00E055AF" w:rsidP="00E055AF">
      <w:pPr>
        <w:pStyle w:val="webbullet2"/>
      </w:pPr>
      <w:r w:rsidRPr="00E055AF">
        <w:t>Submit all covered days and charges as if the beneficiary had days available</w:t>
      </w:r>
      <w:r>
        <w:t xml:space="preserve"> until the date active care ended</w:t>
      </w:r>
      <w:r w:rsidRPr="00E055AF">
        <w:t>.</w:t>
      </w:r>
    </w:p>
    <w:p w14:paraId="05C0789E" w14:textId="55692CB7" w:rsidR="00274178" w:rsidRPr="00274178" w:rsidRDefault="00E055AF" w:rsidP="00E055AF">
      <w:pPr>
        <w:pStyle w:val="webbullet2"/>
      </w:pPr>
      <w:r w:rsidRPr="00E055AF">
        <w:rPr>
          <w:rFonts w:eastAsiaTheme="minorEastAsia"/>
        </w:rPr>
        <w:t>O</w:t>
      </w:r>
      <w:r>
        <w:rPr>
          <w:rFonts w:eastAsiaTheme="minorEastAsia"/>
        </w:rPr>
        <w:t>C</w:t>
      </w:r>
      <w:r w:rsidRPr="00E055AF">
        <w:rPr>
          <w:rFonts w:eastAsiaTheme="minorEastAsia"/>
        </w:rPr>
        <w:t xml:space="preserve"> </w:t>
      </w:r>
      <w:r w:rsidR="00274178" w:rsidRPr="00274178">
        <w:rPr>
          <w:rFonts w:eastAsiaTheme="minorEastAsia"/>
        </w:rPr>
        <w:t>A3 (benefits exhaust) and date will be applied by the FISS</w:t>
      </w:r>
      <w:r>
        <w:rPr>
          <w:rFonts w:eastAsiaTheme="minorEastAsia"/>
        </w:rPr>
        <w:t xml:space="preserve"> </w:t>
      </w:r>
      <w:r w:rsidR="00274178" w:rsidRPr="00274178">
        <w:rPr>
          <w:rFonts w:eastAsiaTheme="minorEastAsia"/>
        </w:rPr>
        <w:t>system when the claim processes and the days and charges after benefits exhaust  will be moved to non-covered</w:t>
      </w:r>
      <w:r w:rsidRPr="00E055AF">
        <w:rPr>
          <w:rFonts w:eastAsiaTheme="minorEastAsia"/>
        </w:rPr>
        <w:t>.</w:t>
      </w:r>
    </w:p>
    <w:p w14:paraId="53D8F7E4" w14:textId="6B185DA6" w:rsidR="00E055AF" w:rsidRDefault="00E055AF" w:rsidP="00FD481E">
      <w:pPr>
        <w:pStyle w:val="webbullet1"/>
      </w:pPr>
      <w:r>
        <w:t>Default HIPPS code ZZZZZ.</w:t>
      </w:r>
    </w:p>
    <w:p w14:paraId="033E6BFE" w14:textId="7104EA25" w:rsidR="00E055AF" w:rsidRPr="00E055AF" w:rsidRDefault="00A929ED" w:rsidP="00E055AF">
      <w:pPr>
        <w:pStyle w:val="webbullet1"/>
      </w:pPr>
      <w:r>
        <w:t>VC</w:t>
      </w:r>
      <w:r w:rsidR="00E055AF" w:rsidRPr="00E055AF">
        <w:t xml:space="preserve"> 09 (First year coinsurance amount) 1.00 (If applicable, FISS will assign the correct coinsurance amount based off the CWF response). </w:t>
      </w:r>
    </w:p>
    <w:p w14:paraId="56DFF570" w14:textId="25286FD5" w:rsidR="000E385F" w:rsidRDefault="00AF50AA" w:rsidP="00FD481E">
      <w:pPr>
        <w:pStyle w:val="webbullet1"/>
      </w:pPr>
      <w:r>
        <w:t xml:space="preserve">Patient </w:t>
      </w:r>
      <w:r w:rsidR="00E055AF">
        <w:t>s</w:t>
      </w:r>
      <w:r>
        <w:t xml:space="preserve">tatus </w:t>
      </w:r>
      <w:r w:rsidR="00E055AF">
        <w:t>c</w:t>
      </w:r>
      <w:r>
        <w:t xml:space="preserve">ode 30 </w:t>
      </w:r>
      <w:r w:rsidRPr="00FD481E">
        <w:t>(still patient)</w:t>
      </w:r>
      <w:r w:rsidR="00E055AF">
        <w:t>.</w:t>
      </w:r>
    </w:p>
    <w:p w14:paraId="1B5702F1" w14:textId="6C10C368" w:rsidR="00E055AF" w:rsidRPr="00FD481E" w:rsidRDefault="00E055AF" w:rsidP="00E055AF">
      <w:pPr>
        <w:pStyle w:val="webbullet1"/>
      </w:pPr>
      <w:r w:rsidRPr="00E055AF">
        <w:rPr>
          <w:rFonts w:eastAsiaTheme="minorEastAsia"/>
        </w:rPr>
        <w:t>Submit any Part B services provided after skilled care ended, including therapy, on a TOB 22X after benefits exhaust claim processes</w:t>
      </w:r>
      <w:r w:rsidR="005B3CD1">
        <w:rPr>
          <w:rFonts w:eastAsiaTheme="minorEastAsia"/>
        </w:rPr>
        <w:t>.</w:t>
      </w:r>
    </w:p>
    <w:p w14:paraId="68D7BAC1" w14:textId="77777777" w:rsidR="000E385F" w:rsidRPr="00D60DC1" w:rsidRDefault="000E385F" w:rsidP="00D60DC1">
      <w:pPr>
        <w:pStyle w:val="webheader3"/>
        <w:rPr>
          <w:rStyle w:val="webbold"/>
          <w:rFonts w:ascii="Verdana" w:hAnsi="Verdana"/>
          <w:b/>
        </w:rPr>
      </w:pPr>
      <w:r w:rsidRPr="00D60DC1">
        <w:rPr>
          <w:rStyle w:val="webbold"/>
          <w:rFonts w:ascii="Verdana" w:hAnsi="Verdana"/>
          <w:b/>
        </w:rPr>
        <w:t>Benefits exhaust claim with a patient discharge</w:t>
      </w:r>
    </w:p>
    <w:p w14:paraId="0B9EF551" w14:textId="77777777" w:rsidR="00E055AF" w:rsidRPr="00E055AF" w:rsidRDefault="00E055AF" w:rsidP="00E055AF">
      <w:pPr>
        <w:pStyle w:val="webbullet1"/>
      </w:pPr>
      <w:r w:rsidRPr="00E055AF">
        <w:t>Use appropriate TOB:</w:t>
      </w:r>
    </w:p>
    <w:p w14:paraId="6C35DB59" w14:textId="09B2C0F0" w:rsidR="00E055AF" w:rsidRPr="00E055AF" w:rsidRDefault="00E055AF" w:rsidP="00E055AF">
      <w:pPr>
        <w:pStyle w:val="webbullet2"/>
      </w:pPr>
      <w:r w:rsidRPr="00E055AF">
        <w:lastRenderedPageBreak/>
        <w:t>TOB 21</w:t>
      </w:r>
      <w:r>
        <w:t>1</w:t>
      </w:r>
      <w:r w:rsidRPr="00E055AF">
        <w:t xml:space="preserve"> or 21</w:t>
      </w:r>
      <w:r>
        <w:t>4</w:t>
      </w:r>
      <w:r w:rsidRPr="00E055AF">
        <w:t xml:space="preserve"> for SNF</w:t>
      </w:r>
      <w:r w:rsidR="00F333BC">
        <w:t>.</w:t>
      </w:r>
    </w:p>
    <w:p w14:paraId="692CC4A3" w14:textId="29A070CF" w:rsidR="00E055AF" w:rsidRPr="00E055AF" w:rsidRDefault="00E055AF" w:rsidP="00E055AF">
      <w:pPr>
        <w:pStyle w:val="webbullet2"/>
      </w:pPr>
      <w:r w:rsidRPr="00E055AF">
        <w:t>TOB 18</w:t>
      </w:r>
      <w:r>
        <w:t>1</w:t>
      </w:r>
      <w:r w:rsidRPr="00E055AF">
        <w:t xml:space="preserve"> or 18</w:t>
      </w:r>
      <w:r>
        <w:t>4</w:t>
      </w:r>
      <w:r w:rsidRPr="00E055AF">
        <w:t xml:space="preserve"> for SB</w:t>
      </w:r>
      <w:r w:rsidR="00F333BC">
        <w:t>.</w:t>
      </w:r>
    </w:p>
    <w:p w14:paraId="7580A336" w14:textId="342D3CC7" w:rsidR="00E055AF" w:rsidRPr="00E055AF" w:rsidRDefault="00E055AF" w:rsidP="00E055AF">
      <w:pPr>
        <w:pStyle w:val="webbullet2"/>
      </w:pPr>
      <w:r w:rsidRPr="00E055AF">
        <w:rPr>
          <w:rStyle w:val="webbold"/>
        </w:rPr>
        <w:t>Note:</w:t>
      </w:r>
      <w:r w:rsidRPr="00E055AF">
        <w:t xml:space="preserve"> Bill types 210 or 180 should not be used for benefits exhaust claims</w:t>
      </w:r>
      <w:r>
        <w:t>.</w:t>
      </w:r>
    </w:p>
    <w:p w14:paraId="0A646536" w14:textId="488B84C9" w:rsidR="00E055AF" w:rsidRPr="00E055AF" w:rsidRDefault="005B3CD1" w:rsidP="005B3CD1">
      <w:pPr>
        <w:pStyle w:val="webbullet1"/>
      </w:pPr>
      <w:r w:rsidRPr="005B3CD1">
        <w:rPr>
          <w:rFonts w:eastAsiaTheme="minorEastAsia"/>
        </w:rPr>
        <w:t xml:space="preserve">OSC </w:t>
      </w:r>
      <w:r w:rsidR="00E055AF" w:rsidRPr="00E055AF">
        <w:rPr>
          <w:rFonts w:eastAsiaTheme="minorEastAsia"/>
        </w:rPr>
        <w:t>70 with qualifying hospital stay dates</w:t>
      </w:r>
      <w:r w:rsidRPr="005B3CD1">
        <w:rPr>
          <w:rFonts w:eastAsiaTheme="minorEastAsia"/>
        </w:rPr>
        <w:t>.</w:t>
      </w:r>
    </w:p>
    <w:p w14:paraId="5B2909F8" w14:textId="77777777" w:rsidR="005B3CD1" w:rsidRPr="005B3CD1" w:rsidRDefault="005B3CD1" w:rsidP="005B3CD1">
      <w:pPr>
        <w:pStyle w:val="webbullet1"/>
      </w:pPr>
      <w:r w:rsidRPr="005B3CD1">
        <w:t>Covered days and charges:</w:t>
      </w:r>
    </w:p>
    <w:p w14:paraId="50705C57" w14:textId="77777777" w:rsidR="005B3CD1" w:rsidRPr="005B3CD1" w:rsidRDefault="005B3CD1" w:rsidP="005B3CD1">
      <w:pPr>
        <w:pStyle w:val="webbullet2"/>
      </w:pPr>
      <w:r w:rsidRPr="005B3CD1">
        <w:t>Submit all covered days and charges as if the beneficiary had days available until the date active care ended.</w:t>
      </w:r>
    </w:p>
    <w:p w14:paraId="4C22BF46" w14:textId="3E871292" w:rsidR="005B3CD1" w:rsidRPr="005B3CD1" w:rsidRDefault="005B3CD1" w:rsidP="005B3CD1">
      <w:pPr>
        <w:pStyle w:val="webbullet1"/>
      </w:pPr>
      <w:r w:rsidRPr="005B3CD1">
        <w:t xml:space="preserve">VC 09 (First year coinsurance amount) 1.00 (If applicable, FISS will assign the correct coinsurance amount based off the CWF response). </w:t>
      </w:r>
    </w:p>
    <w:p w14:paraId="5E50ED4D" w14:textId="21B14DF5" w:rsidR="000E385F" w:rsidRDefault="000E385F" w:rsidP="00FD481E">
      <w:pPr>
        <w:pStyle w:val="webbullet1"/>
      </w:pPr>
      <w:r w:rsidRPr="000E385F">
        <w:t xml:space="preserve">Use appropriate </w:t>
      </w:r>
      <w:r w:rsidR="00274178">
        <w:t xml:space="preserve">patient status </w:t>
      </w:r>
      <w:r w:rsidRPr="000E385F">
        <w:t xml:space="preserve">code other than patient status code 30 </w:t>
      </w:r>
      <w:r w:rsidRPr="00FD481E">
        <w:t>(still patient)</w:t>
      </w:r>
      <w:r w:rsidR="005B3CD1">
        <w:t>.</w:t>
      </w:r>
    </w:p>
    <w:p w14:paraId="5943FFAF" w14:textId="20898839" w:rsidR="005B3CD1" w:rsidRPr="00FD481E" w:rsidRDefault="00E055AF" w:rsidP="005B3CD1">
      <w:pPr>
        <w:pStyle w:val="webbullet1"/>
      </w:pPr>
      <w:r w:rsidRPr="00E055AF">
        <w:rPr>
          <w:rFonts w:eastAsiaTheme="minorEastAsia"/>
        </w:rPr>
        <w:t>Submit any Part B services provided after skilled care ended, including therapy, on a TOB 22X after benefits exhaust claim processes</w:t>
      </w:r>
      <w:r w:rsidR="005B3CD1" w:rsidRPr="005B3CD1">
        <w:rPr>
          <w:rFonts w:eastAsiaTheme="minorEastAsia"/>
        </w:rPr>
        <w:t>.</w:t>
      </w:r>
    </w:p>
    <w:p w14:paraId="61AC820E" w14:textId="77777777" w:rsidR="00FD481E" w:rsidRDefault="000E385F" w:rsidP="000E385F">
      <w:pPr>
        <w:pStyle w:val="webnormal"/>
      </w:pPr>
      <w:r w:rsidRPr="0070501A">
        <w:rPr>
          <w:rStyle w:val="webbold"/>
        </w:rPr>
        <w:t>N</w:t>
      </w:r>
      <w:r w:rsidR="0070501A" w:rsidRPr="0070501A">
        <w:rPr>
          <w:rStyle w:val="webbold"/>
        </w:rPr>
        <w:t>ote</w:t>
      </w:r>
      <w:r w:rsidRPr="0070501A">
        <w:rPr>
          <w:rStyle w:val="webbold"/>
        </w:rPr>
        <w:t>:</w:t>
      </w:r>
      <w:r w:rsidR="00AF50AA">
        <w:t xml:space="preserve"> </w:t>
      </w:r>
      <w:r w:rsidRPr="000E385F">
        <w:t xml:space="preserve">Billing all covered days and charges allow </w:t>
      </w:r>
      <w:r w:rsidR="0070501A">
        <w:t xml:space="preserve">CWF </w:t>
      </w:r>
      <w:r w:rsidRPr="000E385F">
        <w:t>to assign the correct benefits exhaust denial to the claim and appropriately post the claim to the patient’s benefit period.</w:t>
      </w:r>
      <w:r w:rsidR="00AF50AA">
        <w:t xml:space="preserve"> </w:t>
      </w:r>
    </w:p>
    <w:p w14:paraId="3206402F" w14:textId="77777777" w:rsidR="000E385F" w:rsidRPr="003D7350" w:rsidRDefault="000E385F" w:rsidP="003D7350">
      <w:pPr>
        <w:pStyle w:val="webnormal"/>
      </w:pPr>
      <w:r w:rsidRPr="003D7350">
        <w:t xml:space="preserve">Benefits exhaust bills </w:t>
      </w:r>
      <w:r w:rsidRPr="003D7350">
        <w:rPr>
          <w:rStyle w:val="webbold"/>
        </w:rPr>
        <w:t>must</w:t>
      </w:r>
      <w:r w:rsidRPr="003D7350">
        <w:t xml:space="preserve"> be submitted monthly. </w:t>
      </w:r>
    </w:p>
    <w:p w14:paraId="34D91089" w14:textId="77777777" w:rsidR="00FD481E" w:rsidRDefault="00FD481E" w:rsidP="00FD481E">
      <w:pPr>
        <w:pStyle w:val="webheader2"/>
      </w:pPr>
      <w:r>
        <w:t>Reference</w:t>
      </w:r>
    </w:p>
    <w:p w14:paraId="065C19DC" w14:textId="0B567F5F" w:rsidR="000E385F" w:rsidRPr="005B3CD1" w:rsidRDefault="009D5E6E" w:rsidP="00EB5735">
      <w:pPr>
        <w:pStyle w:val="webbullet1"/>
        <w:rPr>
          <w:rStyle w:val="Hyperlink"/>
          <w:color w:val="auto"/>
        </w:rPr>
      </w:pPr>
      <w:hyperlink r:id="rId9" w:tgtFrame="_blank" w:history="1">
        <w:r w:rsidR="005B3CD1">
          <w:rPr>
            <w:rStyle w:val="Hyperlink"/>
          </w:rPr>
          <w:t xml:space="preserve">CMS IOM Pub. </w:t>
        </w:r>
        <w:r w:rsidR="00FD481E">
          <w:rPr>
            <w:rStyle w:val="Hyperlink"/>
          </w:rPr>
          <w:t xml:space="preserve">100-04, </w:t>
        </w:r>
        <w:r w:rsidR="005B3CD1">
          <w:rPr>
            <w:rStyle w:val="Hyperlink"/>
          </w:rPr>
          <w:t xml:space="preserve">Medicare </w:t>
        </w:r>
        <w:r w:rsidR="00FD481E">
          <w:rPr>
            <w:rStyle w:val="Hyperlink"/>
          </w:rPr>
          <w:t xml:space="preserve">Claims Processing Manual, Chapter 6, </w:t>
        </w:r>
        <w:r w:rsidR="005B3CD1">
          <w:rPr>
            <w:rStyle w:val="Hyperlink"/>
          </w:rPr>
          <w:t>s</w:t>
        </w:r>
        <w:r w:rsidR="00FD481E">
          <w:rPr>
            <w:rStyle w:val="Hyperlink"/>
          </w:rPr>
          <w:t>ection 40.8</w:t>
        </w:r>
      </w:hyperlink>
    </w:p>
    <w:p w14:paraId="106104FB" w14:textId="0B5F4368" w:rsidR="005B3CD1" w:rsidRPr="000E385F" w:rsidRDefault="009D5E6E" w:rsidP="00EB5735">
      <w:pPr>
        <w:pStyle w:val="webbullet1"/>
      </w:pPr>
      <w:hyperlink r:id="rId10" w:history="1">
        <w:r w:rsidR="005B3CD1" w:rsidRPr="005B3CD1">
          <w:rPr>
            <w:rStyle w:val="Hyperlink"/>
          </w:rPr>
          <w:t>Skilled nursing facility billing reference</w:t>
        </w:r>
      </w:hyperlink>
    </w:p>
    <w:sectPr w:rsidR="005B3CD1" w:rsidRPr="000E385F" w:rsidSect="00691F2B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8431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6E3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9A1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EC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C8B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4A5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E3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02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1EA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CDE4685"/>
    <w:multiLevelType w:val="hybridMultilevel"/>
    <w:tmpl w:val="565C828A"/>
    <w:lvl w:ilvl="0" w:tplc="7AEEA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409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F4E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EF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C26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04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846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42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C07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506253"/>
    <w:multiLevelType w:val="hybridMultilevel"/>
    <w:tmpl w:val="CCEC143E"/>
    <w:lvl w:ilvl="0" w:tplc="F4AC0D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3C21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EB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BA2F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00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065D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CB9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A447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326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87D74"/>
    <w:multiLevelType w:val="multilevel"/>
    <w:tmpl w:val="45DC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E226ED"/>
    <w:multiLevelType w:val="multilevel"/>
    <w:tmpl w:val="1508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D047BC"/>
    <w:multiLevelType w:val="multilevel"/>
    <w:tmpl w:val="6622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964DE"/>
    <w:multiLevelType w:val="multilevel"/>
    <w:tmpl w:val="B2AE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F575F"/>
    <w:multiLevelType w:val="multilevel"/>
    <w:tmpl w:val="5DE4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D5151A"/>
    <w:multiLevelType w:val="multilevel"/>
    <w:tmpl w:val="513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41C76"/>
    <w:multiLevelType w:val="hybridMultilevel"/>
    <w:tmpl w:val="2B62B3D2"/>
    <w:lvl w:ilvl="0" w:tplc="FCE202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1040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809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23A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0EFC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AC9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023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A34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48E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A05C1"/>
    <w:multiLevelType w:val="hybridMultilevel"/>
    <w:tmpl w:val="DB586D4E"/>
    <w:lvl w:ilvl="0" w:tplc="A22E2F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B0EA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4C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ED2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B454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04B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C48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7EA0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DC0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2C1CA0"/>
    <w:multiLevelType w:val="hybridMultilevel"/>
    <w:tmpl w:val="D1983538"/>
    <w:lvl w:ilvl="0" w:tplc="FAB234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4CE2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2C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0EE9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DE50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10B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A80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5829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2AF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47F02"/>
    <w:multiLevelType w:val="multilevel"/>
    <w:tmpl w:val="A7A8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A74792"/>
    <w:multiLevelType w:val="multilevel"/>
    <w:tmpl w:val="D6FE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4435F9"/>
    <w:multiLevelType w:val="hybridMultilevel"/>
    <w:tmpl w:val="BF967C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22EE4"/>
    <w:multiLevelType w:val="multilevel"/>
    <w:tmpl w:val="1EAE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782527"/>
    <w:multiLevelType w:val="multilevel"/>
    <w:tmpl w:val="102C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E64E2D"/>
    <w:multiLevelType w:val="multilevel"/>
    <w:tmpl w:val="C99C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DF5090"/>
    <w:multiLevelType w:val="multilevel"/>
    <w:tmpl w:val="E924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78064">
    <w:abstractNumId w:val="12"/>
  </w:num>
  <w:num w:numId="2" w16cid:durableId="329449522">
    <w:abstractNumId w:val="20"/>
  </w:num>
  <w:num w:numId="3" w16cid:durableId="209002379">
    <w:abstractNumId w:val="10"/>
  </w:num>
  <w:num w:numId="4" w16cid:durableId="1398241388">
    <w:abstractNumId w:val="29"/>
  </w:num>
  <w:num w:numId="5" w16cid:durableId="1472744704">
    <w:abstractNumId w:val="18"/>
  </w:num>
  <w:num w:numId="6" w16cid:durableId="467865673">
    <w:abstractNumId w:val="24"/>
  </w:num>
  <w:num w:numId="7" w16cid:durableId="1677267389">
    <w:abstractNumId w:val="18"/>
  </w:num>
  <w:num w:numId="8" w16cid:durableId="564947257">
    <w:abstractNumId w:val="29"/>
  </w:num>
  <w:num w:numId="9" w16cid:durableId="184753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14177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0413448">
    <w:abstractNumId w:val="12"/>
  </w:num>
  <w:num w:numId="12" w16cid:durableId="14275362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3123162">
    <w:abstractNumId w:val="9"/>
  </w:num>
  <w:num w:numId="14" w16cid:durableId="1017460463">
    <w:abstractNumId w:val="7"/>
  </w:num>
  <w:num w:numId="15" w16cid:durableId="120265507">
    <w:abstractNumId w:val="6"/>
  </w:num>
  <w:num w:numId="16" w16cid:durableId="293296721">
    <w:abstractNumId w:val="5"/>
  </w:num>
  <w:num w:numId="17" w16cid:durableId="186675318">
    <w:abstractNumId w:val="4"/>
  </w:num>
  <w:num w:numId="18" w16cid:durableId="1259605322">
    <w:abstractNumId w:val="8"/>
  </w:num>
  <w:num w:numId="19" w16cid:durableId="990254524">
    <w:abstractNumId w:val="3"/>
  </w:num>
  <w:num w:numId="20" w16cid:durableId="352193308">
    <w:abstractNumId w:val="2"/>
  </w:num>
  <w:num w:numId="21" w16cid:durableId="1920360871">
    <w:abstractNumId w:val="1"/>
  </w:num>
  <w:num w:numId="22" w16cid:durableId="2121415782">
    <w:abstractNumId w:val="0"/>
  </w:num>
  <w:num w:numId="23" w16cid:durableId="1966236020">
    <w:abstractNumId w:val="28"/>
  </w:num>
  <w:num w:numId="24" w16cid:durableId="1039235721">
    <w:abstractNumId w:val="33"/>
  </w:num>
  <w:num w:numId="25" w16cid:durableId="601836477">
    <w:abstractNumId w:val="14"/>
  </w:num>
  <w:num w:numId="26" w16cid:durableId="1103067345">
    <w:abstractNumId w:val="19"/>
  </w:num>
  <w:num w:numId="27" w16cid:durableId="1057514588">
    <w:abstractNumId w:val="16"/>
  </w:num>
  <w:num w:numId="28" w16cid:durableId="1640379913">
    <w:abstractNumId w:val="15"/>
  </w:num>
  <w:num w:numId="29" w16cid:durableId="325521519">
    <w:abstractNumId w:val="32"/>
  </w:num>
  <w:num w:numId="30" w16cid:durableId="443113569">
    <w:abstractNumId w:val="21"/>
  </w:num>
  <w:num w:numId="31" w16cid:durableId="340860490">
    <w:abstractNumId w:val="17"/>
  </w:num>
  <w:num w:numId="32" w16cid:durableId="148907544">
    <w:abstractNumId w:val="27"/>
  </w:num>
  <w:num w:numId="33" w16cid:durableId="1202666870">
    <w:abstractNumId w:val="26"/>
  </w:num>
  <w:num w:numId="34" w16cid:durableId="265844477">
    <w:abstractNumId w:val="30"/>
  </w:num>
  <w:num w:numId="35" w16cid:durableId="302391227">
    <w:abstractNumId w:val="31"/>
  </w:num>
  <w:num w:numId="36" w16cid:durableId="1739133131">
    <w:abstractNumId w:val="11"/>
  </w:num>
  <w:num w:numId="37" w16cid:durableId="1508595018">
    <w:abstractNumId w:val="22"/>
  </w:num>
  <w:num w:numId="38" w16cid:durableId="370766010">
    <w:abstractNumId w:val="25"/>
  </w:num>
  <w:num w:numId="39" w16cid:durableId="1898585410">
    <w:abstractNumId w:val="13"/>
  </w:num>
  <w:num w:numId="40" w16cid:durableId="112658107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B2"/>
    <w:rsid w:val="000C1D4A"/>
    <w:rsid w:val="000E385F"/>
    <w:rsid w:val="00107FA1"/>
    <w:rsid w:val="00130DF9"/>
    <w:rsid w:val="00145DCD"/>
    <w:rsid w:val="00157BBA"/>
    <w:rsid w:val="001A0AB9"/>
    <w:rsid w:val="001B0E29"/>
    <w:rsid w:val="001C4E73"/>
    <w:rsid w:val="00202A27"/>
    <w:rsid w:val="00272E35"/>
    <w:rsid w:val="00274178"/>
    <w:rsid w:val="00391469"/>
    <w:rsid w:val="003D7350"/>
    <w:rsid w:val="004162AE"/>
    <w:rsid w:val="004714B0"/>
    <w:rsid w:val="0049375B"/>
    <w:rsid w:val="005B3CD1"/>
    <w:rsid w:val="005F192D"/>
    <w:rsid w:val="00632C35"/>
    <w:rsid w:val="00690182"/>
    <w:rsid w:val="00691F2B"/>
    <w:rsid w:val="006E0B59"/>
    <w:rsid w:val="006E3869"/>
    <w:rsid w:val="0070501A"/>
    <w:rsid w:val="0073729C"/>
    <w:rsid w:val="007925FC"/>
    <w:rsid w:val="007B479D"/>
    <w:rsid w:val="007D24BF"/>
    <w:rsid w:val="00803F9D"/>
    <w:rsid w:val="008123FC"/>
    <w:rsid w:val="008249B2"/>
    <w:rsid w:val="00861C2B"/>
    <w:rsid w:val="0088323E"/>
    <w:rsid w:val="00885941"/>
    <w:rsid w:val="008A0E01"/>
    <w:rsid w:val="008B607B"/>
    <w:rsid w:val="008F343B"/>
    <w:rsid w:val="009312AD"/>
    <w:rsid w:val="009811F7"/>
    <w:rsid w:val="00986FB4"/>
    <w:rsid w:val="009B7B97"/>
    <w:rsid w:val="009D5E6E"/>
    <w:rsid w:val="00A929ED"/>
    <w:rsid w:val="00AA245A"/>
    <w:rsid w:val="00AC61C3"/>
    <w:rsid w:val="00AE0E18"/>
    <w:rsid w:val="00AF50AA"/>
    <w:rsid w:val="00B011F3"/>
    <w:rsid w:val="00B2746C"/>
    <w:rsid w:val="00BE35C1"/>
    <w:rsid w:val="00C16A79"/>
    <w:rsid w:val="00C261AE"/>
    <w:rsid w:val="00C719C3"/>
    <w:rsid w:val="00D05EB8"/>
    <w:rsid w:val="00D11DDE"/>
    <w:rsid w:val="00D208CF"/>
    <w:rsid w:val="00D20E7E"/>
    <w:rsid w:val="00D60DC1"/>
    <w:rsid w:val="00DC4629"/>
    <w:rsid w:val="00DF53CD"/>
    <w:rsid w:val="00E055AF"/>
    <w:rsid w:val="00E60C0C"/>
    <w:rsid w:val="00E635D6"/>
    <w:rsid w:val="00EA68CB"/>
    <w:rsid w:val="00EB5735"/>
    <w:rsid w:val="00F01D04"/>
    <w:rsid w:val="00F23054"/>
    <w:rsid w:val="00F333BC"/>
    <w:rsid w:val="00F84D22"/>
    <w:rsid w:val="00FC3EBB"/>
    <w:rsid w:val="00F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A8D04"/>
  <w15:docId w15:val="{C08E8B77-A3DA-440E-AFCA-40438131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2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uiPriority w:val="99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paragraph" w:styleId="NormalWeb">
    <w:name w:val="Normal (Web)"/>
    <w:basedOn w:val="Normal"/>
    <w:uiPriority w:val="99"/>
    <w:semiHidden/>
    <w:unhideWhenUsed/>
    <w:locked/>
    <w:rsid w:val="008249B2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3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3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0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7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1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2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06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95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08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ms.gov/Outreach-and-Education/Medicare-Learning-Network-MLN/MLNProducts/EnrollmentResources/provider-resources/snf-billing-reference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ms.hhs.gov/Regulations-and-Guidance/Guidance/Manuals/downloads/clm104c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68F4E-B5C2-427F-AF56-8E7AAB2DE0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9B23D3-4749-4877-B1AA-A6DEA3505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1E4D1-F117-48F1-B70A-78BAB663A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Company>FCSO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John Ricords</dc:creator>
  <cp:keywords/>
  <dc:description/>
  <cp:lastModifiedBy>Keefer, Felecia</cp:lastModifiedBy>
  <cp:revision>3</cp:revision>
  <cp:lastPrinted>2013-08-22T18:47:00Z</cp:lastPrinted>
  <dcterms:created xsi:type="dcterms:W3CDTF">2023-10-25T18:59:00Z</dcterms:created>
  <dcterms:modified xsi:type="dcterms:W3CDTF">2023-10-26T08:53:00Z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