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1F62" w14:textId="071C9881" w:rsidR="00F74BDE" w:rsidRDefault="00F74BDE" w:rsidP="0087773E">
      <w:pPr>
        <w:pStyle w:val="webheader"/>
      </w:pPr>
      <w:bookmarkStart w:id="0" w:name="content"/>
      <w:r w:rsidRPr="0087773E">
        <w:t xml:space="preserve">Patient </w:t>
      </w:r>
      <w:r w:rsidR="00D17D46">
        <w:t>d</w:t>
      </w:r>
      <w:r w:rsidRPr="0087773E">
        <w:t xml:space="preserve">ischarge </w:t>
      </w:r>
      <w:r w:rsidR="00D17D46">
        <w:t>s</w:t>
      </w:r>
      <w:r w:rsidRPr="0087773E">
        <w:t xml:space="preserve">tatus </w:t>
      </w:r>
      <w:r w:rsidR="00D17D46">
        <w:t>c</w:t>
      </w:r>
      <w:r w:rsidRPr="0087773E">
        <w:t xml:space="preserve">ode </w:t>
      </w:r>
      <w:r w:rsidR="00D17D46">
        <w:t>r</w:t>
      </w:r>
      <w:r w:rsidRPr="0087773E">
        <w:t>eporting</w:t>
      </w:r>
      <w:bookmarkEnd w:id="0"/>
      <w:r w:rsidRPr="0087773E">
        <w:t xml:space="preserve"> </w:t>
      </w:r>
    </w:p>
    <w:p w14:paraId="496E1F63" w14:textId="77777777" w:rsidR="004F2293" w:rsidRPr="004F2293" w:rsidRDefault="004F2293" w:rsidP="004F2293">
      <w:pPr>
        <w:pStyle w:val="webnormal"/>
      </w:pPr>
      <w:r w:rsidRPr="004F2293">
        <w:t xml:space="preserve">A “discharge” occurs when a Medicare beneficiary leaves an acute care hospital after receiving acute care treatment; or dies in the hospital. </w:t>
      </w:r>
    </w:p>
    <w:p w14:paraId="02326BCB" w14:textId="61B3E8A1" w:rsidR="00A25A42" w:rsidRDefault="004F2293" w:rsidP="004F2293">
      <w:pPr>
        <w:pStyle w:val="webnormal"/>
      </w:pPr>
      <w:r w:rsidRPr="004F2293">
        <w:t>A patient discharge status code is a two-digit code that identifies where the patient is at the conclusion of a</w:t>
      </w:r>
      <w:r w:rsidR="00BF4C80">
        <w:t xml:space="preserve"> health care facility encounter</w:t>
      </w:r>
      <w:r w:rsidRPr="004F2293">
        <w:t xml:space="preserve"> or at the end of a billing cycle (the ‘through' date of a claim).</w:t>
      </w:r>
    </w:p>
    <w:p w14:paraId="0BE7C45E" w14:textId="4B3309F1" w:rsidR="00CC76B4" w:rsidRDefault="00CC76B4" w:rsidP="004F2293">
      <w:pPr>
        <w:pStyle w:val="webnormal"/>
      </w:pPr>
      <w:r>
        <w:t xml:space="preserve">The </w:t>
      </w:r>
      <w:r w:rsidR="00A652BB">
        <w:t xml:space="preserve">patient </w:t>
      </w:r>
      <w:r>
        <w:t>discharge</w:t>
      </w:r>
      <w:r w:rsidR="00A652BB">
        <w:t xml:space="preserve"> status</w:t>
      </w:r>
      <w:r>
        <w:t xml:space="preserve"> codes listed below is not an all-inclusive list. For these and other discharge codes, </w:t>
      </w:r>
      <w:r w:rsidR="00A652BB">
        <w:t>and for assistance in the proper reporting of p</w:t>
      </w:r>
      <w:r w:rsidR="00A652BB" w:rsidRPr="00A652BB">
        <w:t xml:space="preserve">atient discharge status, please refer to the </w:t>
      </w:r>
      <w:hyperlink r:id="rId8" w:history="1">
        <w:r w:rsidR="00A652BB" w:rsidRPr="00A652BB">
          <w:rPr>
            <w:rStyle w:val="Hyperlink"/>
          </w:rPr>
          <w:t>National Uniform Billing Committee</w:t>
        </w:r>
      </w:hyperlink>
      <w:r w:rsidR="00A652BB" w:rsidRPr="00A652BB">
        <w:t>.</w:t>
      </w:r>
    </w:p>
    <w:p w14:paraId="496E1F65" w14:textId="2C3C6AF5" w:rsidR="00BF4C80" w:rsidRDefault="00BF4C80" w:rsidP="00BF4C80">
      <w:pPr>
        <w:pStyle w:val="webheader2"/>
      </w:pPr>
      <w:r w:rsidRPr="00BF4C80">
        <w:t xml:space="preserve">Discharge </w:t>
      </w:r>
      <w:r w:rsidR="00D17D46">
        <w:t>c</w:t>
      </w:r>
      <w:r w:rsidRPr="00BF4C80">
        <w:t>odes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9586"/>
      </w:tblGrid>
      <w:tr w:rsidR="008819AB" w:rsidRPr="00A652BB" w14:paraId="496E1F68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66" w14:textId="0DB02A65" w:rsidR="002510B4" w:rsidRPr="00A652BB" w:rsidRDefault="008819AB" w:rsidP="00A652BB">
            <w:pPr>
              <w:pStyle w:val="webnormal"/>
            </w:pPr>
            <w:r w:rsidRPr="00A652BB">
              <w:t xml:space="preserve">Discharge </w:t>
            </w:r>
            <w:r w:rsidR="005C5019">
              <w:t>c</w:t>
            </w:r>
            <w:r w:rsidRPr="00A652BB">
              <w:t>ode</w:t>
            </w:r>
          </w:p>
        </w:tc>
        <w:tc>
          <w:tcPr>
            <w:tcW w:w="9630" w:type="dxa"/>
            <w:hideMark/>
          </w:tcPr>
          <w:p w14:paraId="496E1F67" w14:textId="77777777" w:rsidR="002510B4" w:rsidRPr="00A652BB" w:rsidRDefault="008819AB" w:rsidP="00A652BB">
            <w:pPr>
              <w:pStyle w:val="webnormal"/>
            </w:pPr>
            <w:r w:rsidRPr="00A652BB">
              <w:t>Definition</w:t>
            </w:r>
          </w:p>
        </w:tc>
      </w:tr>
      <w:tr w:rsidR="008819AB" w:rsidRPr="00A652BB" w14:paraId="496E1F6C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69" w14:textId="77777777" w:rsidR="002510B4" w:rsidRPr="00A652BB" w:rsidRDefault="008819AB" w:rsidP="00A652BB">
            <w:pPr>
              <w:pStyle w:val="webnormal"/>
            </w:pPr>
            <w:r w:rsidRPr="00A652BB">
              <w:t>01</w:t>
            </w:r>
          </w:p>
        </w:tc>
        <w:tc>
          <w:tcPr>
            <w:tcW w:w="9630" w:type="dxa"/>
            <w:hideMark/>
          </w:tcPr>
          <w:p w14:paraId="496E1F6A" w14:textId="2A16E793" w:rsidR="008819AB" w:rsidRPr="00A652BB" w:rsidRDefault="008819AB" w:rsidP="00A652BB">
            <w:pPr>
              <w:pStyle w:val="webnormal"/>
            </w:pPr>
            <w:r w:rsidRPr="00A652BB">
              <w:t xml:space="preserve">Discharge to </w:t>
            </w:r>
            <w:r w:rsidR="00B61D0B">
              <w:t>h</w:t>
            </w:r>
            <w:r w:rsidRPr="00A652BB">
              <w:t xml:space="preserve">ome or </w:t>
            </w:r>
            <w:r w:rsidR="00B61D0B">
              <w:t>s</w:t>
            </w:r>
            <w:r w:rsidR="00B61D0B" w:rsidRPr="00A652BB">
              <w:t>elf-</w:t>
            </w:r>
            <w:r w:rsidR="00B61D0B">
              <w:t>c</w:t>
            </w:r>
            <w:r w:rsidR="00B61D0B" w:rsidRPr="00A652BB">
              <w:t>are</w:t>
            </w:r>
            <w:r w:rsidRPr="00A652BB">
              <w:t xml:space="preserve"> (</w:t>
            </w:r>
            <w:r w:rsidR="00B61D0B">
              <w:t>r</w:t>
            </w:r>
            <w:r w:rsidRPr="00A652BB">
              <w:t xml:space="preserve">outine </w:t>
            </w:r>
            <w:r w:rsidR="00B61D0B">
              <w:t>d</w:t>
            </w:r>
            <w:r w:rsidRPr="00A652BB">
              <w:t>ischarge)</w:t>
            </w:r>
          </w:p>
          <w:p w14:paraId="496E1F6B" w14:textId="335390AD" w:rsidR="002510B4" w:rsidRPr="00A652BB" w:rsidRDefault="0041345D" w:rsidP="0041345D">
            <w:pPr>
              <w:pStyle w:val="webnormal"/>
            </w:pPr>
            <w:r>
              <w:t>T</w:t>
            </w:r>
            <w:r w:rsidR="008819AB" w:rsidRPr="00A652BB">
              <w:t>his code includes discharge to home; home on oxygen if DME only; any other DME only; group home, foster care, and other residential care arrangements; outpatient programs, such as partial hospitalization or outpatient chemical dependency programs; assisted living facilities that are not state-designated</w:t>
            </w:r>
            <w:r>
              <w:t>.</w:t>
            </w:r>
          </w:p>
        </w:tc>
      </w:tr>
      <w:tr w:rsidR="008819AB" w:rsidRPr="00A652BB" w14:paraId="496E1F6F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6D" w14:textId="77777777" w:rsidR="002510B4" w:rsidRPr="00A652BB" w:rsidRDefault="008819AB" w:rsidP="00A652BB">
            <w:pPr>
              <w:pStyle w:val="webnormal"/>
            </w:pPr>
            <w:r w:rsidRPr="00A652BB">
              <w:t>02</w:t>
            </w:r>
          </w:p>
        </w:tc>
        <w:tc>
          <w:tcPr>
            <w:tcW w:w="9630" w:type="dxa"/>
            <w:hideMark/>
          </w:tcPr>
          <w:p w14:paraId="496E1F6E" w14:textId="50CFE0A6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B61D0B">
              <w:t>t</w:t>
            </w:r>
            <w:r w:rsidRPr="00A652BB">
              <w:t xml:space="preserve">ransferred to a </w:t>
            </w:r>
            <w:r w:rsidR="00B61D0B">
              <w:t>s</w:t>
            </w:r>
            <w:r w:rsidRPr="00A652BB">
              <w:t xml:space="preserve">hort-term </w:t>
            </w:r>
            <w:r w:rsidR="00B61D0B">
              <w:t>g</w:t>
            </w:r>
            <w:r w:rsidRPr="00A652BB">
              <w:t xml:space="preserve">eneral </w:t>
            </w:r>
            <w:r w:rsidR="00B61D0B">
              <w:t>h</w:t>
            </w:r>
            <w:r w:rsidRPr="00A652BB">
              <w:t xml:space="preserve">ospital for </w:t>
            </w:r>
            <w:r w:rsidR="00B61D0B">
              <w:t>i</w:t>
            </w:r>
            <w:r w:rsidRPr="00A652BB">
              <w:t xml:space="preserve">npatient </w:t>
            </w:r>
            <w:r w:rsidR="00B61D0B">
              <w:t>c</w:t>
            </w:r>
            <w:r w:rsidRPr="00A652BB">
              <w:t>are</w:t>
            </w:r>
            <w:r w:rsidR="00B61D0B">
              <w:t>.</w:t>
            </w:r>
            <w:r w:rsidR="00CC76B4" w:rsidRPr="00A652BB">
              <w:t xml:space="preserve"> </w:t>
            </w:r>
          </w:p>
        </w:tc>
      </w:tr>
      <w:tr w:rsidR="008819AB" w:rsidRPr="00A652BB" w14:paraId="496E1F72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70" w14:textId="77777777" w:rsidR="002510B4" w:rsidRPr="00A652BB" w:rsidRDefault="008819AB" w:rsidP="00A652BB">
            <w:pPr>
              <w:pStyle w:val="webnormal"/>
            </w:pPr>
            <w:r w:rsidRPr="00A652BB">
              <w:t>03</w:t>
            </w:r>
          </w:p>
        </w:tc>
        <w:tc>
          <w:tcPr>
            <w:tcW w:w="9630" w:type="dxa"/>
            <w:hideMark/>
          </w:tcPr>
          <w:p w14:paraId="496E1F71" w14:textId="41205C1E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B61D0B">
              <w:t>t</w:t>
            </w:r>
            <w:r w:rsidRPr="00A652BB">
              <w:t xml:space="preserve">ransferred to a </w:t>
            </w:r>
            <w:r w:rsidR="00B61D0B">
              <w:t>s</w:t>
            </w:r>
            <w:r w:rsidRPr="00A652BB">
              <w:t xml:space="preserve">killed </w:t>
            </w:r>
            <w:r w:rsidR="00D17D46">
              <w:t>n</w:t>
            </w:r>
            <w:r w:rsidRPr="00A652BB">
              <w:t xml:space="preserve">ursing </w:t>
            </w:r>
            <w:r w:rsidR="00B61D0B">
              <w:t>f</w:t>
            </w:r>
            <w:r w:rsidRPr="00A652BB">
              <w:t xml:space="preserve">acility with Medicare </w:t>
            </w:r>
            <w:r w:rsidR="00B61D0B">
              <w:t>c</w:t>
            </w:r>
            <w:r w:rsidRPr="00A652BB">
              <w:t xml:space="preserve">ertification in </w:t>
            </w:r>
            <w:r w:rsidR="00B61D0B">
              <w:t>a</w:t>
            </w:r>
            <w:r w:rsidRPr="00A652BB">
              <w:t xml:space="preserve">nticipation of </w:t>
            </w:r>
            <w:r w:rsidR="00B61D0B">
              <w:t>s</w:t>
            </w:r>
            <w:r w:rsidRPr="00A652BB">
              <w:t xml:space="preserve">killed </w:t>
            </w:r>
            <w:r w:rsidR="00B61D0B">
              <w:t>c</w:t>
            </w:r>
            <w:r w:rsidRPr="00A652BB">
              <w:t>are</w:t>
            </w:r>
            <w:r w:rsidR="00B61D0B">
              <w:t>.</w:t>
            </w:r>
            <w:r w:rsidR="00CC76B4" w:rsidRPr="00A652BB">
              <w:t xml:space="preserve"> </w:t>
            </w:r>
          </w:p>
        </w:tc>
      </w:tr>
      <w:tr w:rsidR="008819AB" w:rsidRPr="00A652BB" w14:paraId="496E1F75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73" w14:textId="77777777" w:rsidR="002510B4" w:rsidRPr="00A652BB" w:rsidRDefault="008819AB" w:rsidP="00A652BB">
            <w:pPr>
              <w:pStyle w:val="webnormal"/>
            </w:pPr>
            <w:r w:rsidRPr="00A652BB">
              <w:t>04</w:t>
            </w:r>
          </w:p>
        </w:tc>
        <w:tc>
          <w:tcPr>
            <w:tcW w:w="9630" w:type="dxa"/>
            <w:hideMark/>
          </w:tcPr>
          <w:p w14:paraId="496E1F74" w14:textId="40BD0445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B61D0B">
              <w:t>t</w:t>
            </w:r>
            <w:r w:rsidRPr="00A652BB">
              <w:t xml:space="preserve">ransferred to an </w:t>
            </w:r>
            <w:r w:rsidR="00B61D0B">
              <w:t>i</w:t>
            </w:r>
            <w:r w:rsidRPr="00A652BB">
              <w:t xml:space="preserve">ntermediate </w:t>
            </w:r>
            <w:r w:rsidR="00B61D0B">
              <w:t>c</w:t>
            </w:r>
            <w:r w:rsidRPr="00A652BB">
              <w:t xml:space="preserve">are </w:t>
            </w:r>
            <w:r w:rsidR="00B61D0B">
              <w:t>f</w:t>
            </w:r>
            <w:r w:rsidRPr="00A652BB">
              <w:t>acility</w:t>
            </w:r>
            <w:r w:rsidR="00B61D0B">
              <w:t>.</w:t>
            </w:r>
          </w:p>
        </w:tc>
      </w:tr>
      <w:tr w:rsidR="008819AB" w:rsidRPr="00A652BB" w14:paraId="496E1F78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76" w14:textId="77777777" w:rsidR="002510B4" w:rsidRPr="00A652BB" w:rsidRDefault="008819AB" w:rsidP="00A652BB">
            <w:pPr>
              <w:pStyle w:val="webnormal"/>
            </w:pPr>
            <w:r w:rsidRPr="00A652BB">
              <w:t>05</w:t>
            </w:r>
          </w:p>
        </w:tc>
        <w:tc>
          <w:tcPr>
            <w:tcW w:w="9630" w:type="dxa"/>
            <w:hideMark/>
          </w:tcPr>
          <w:p w14:paraId="496E1F77" w14:textId="116C7D81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B61D0B">
              <w:t>t</w:t>
            </w:r>
            <w:r w:rsidRPr="00A652BB">
              <w:t xml:space="preserve">ransferred to a </w:t>
            </w:r>
            <w:r w:rsidR="00B61D0B">
              <w:t>d</w:t>
            </w:r>
            <w:r w:rsidRPr="00A652BB">
              <w:t xml:space="preserve">esignated </w:t>
            </w:r>
            <w:r w:rsidR="00B61D0B">
              <w:t>c</w:t>
            </w:r>
            <w:r w:rsidRPr="00A652BB">
              <w:t xml:space="preserve">ancer </w:t>
            </w:r>
            <w:r w:rsidR="00B61D0B">
              <w:t>c</w:t>
            </w:r>
            <w:r w:rsidRPr="00A652BB">
              <w:t xml:space="preserve">enter or </w:t>
            </w:r>
            <w:r w:rsidR="00B61D0B">
              <w:t>c</w:t>
            </w:r>
            <w:r w:rsidRPr="00A652BB">
              <w:t xml:space="preserve">hildren’s </w:t>
            </w:r>
            <w:r w:rsidR="00B61D0B">
              <w:t>h</w:t>
            </w:r>
            <w:r w:rsidRPr="00A652BB">
              <w:t>ospital</w:t>
            </w:r>
            <w:r w:rsidR="00B61D0B">
              <w:t>.</w:t>
            </w:r>
            <w:r w:rsidR="00CC76B4" w:rsidRPr="00A652BB">
              <w:t xml:space="preserve"> </w:t>
            </w:r>
          </w:p>
        </w:tc>
      </w:tr>
      <w:tr w:rsidR="008819AB" w:rsidRPr="00A652BB" w14:paraId="496E1F7B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79" w14:textId="77777777" w:rsidR="002510B4" w:rsidRPr="00A652BB" w:rsidRDefault="008819AB" w:rsidP="00A652BB">
            <w:pPr>
              <w:pStyle w:val="webnormal"/>
            </w:pPr>
            <w:r w:rsidRPr="00A652BB">
              <w:t>06</w:t>
            </w:r>
          </w:p>
        </w:tc>
        <w:tc>
          <w:tcPr>
            <w:tcW w:w="9630" w:type="dxa"/>
            <w:hideMark/>
          </w:tcPr>
          <w:p w14:paraId="496E1F7A" w14:textId="7EE521A9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B61D0B">
              <w:t>t</w:t>
            </w:r>
            <w:r w:rsidRPr="00A652BB">
              <w:t xml:space="preserve">ransferred to </w:t>
            </w:r>
            <w:r w:rsidR="00B61D0B">
              <w:t>h</w:t>
            </w:r>
            <w:r w:rsidRPr="00A652BB">
              <w:t xml:space="preserve">ome </w:t>
            </w:r>
            <w:r w:rsidR="00B61D0B">
              <w:t>u</w:t>
            </w:r>
            <w:r w:rsidRPr="00A652BB">
              <w:t xml:space="preserve">nder </w:t>
            </w:r>
            <w:r w:rsidR="00B61D0B">
              <w:t>c</w:t>
            </w:r>
            <w:r w:rsidRPr="00A652BB">
              <w:t xml:space="preserve">are of </w:t>
            </w:r>
            <w:r w:rsidR="00B61D0B">
              <w:t>o</w:t>
            </w:r>
            <w:r w:rsidRPr="00A652BB">
              <w:t xml:space="preserve">rganized </w:t>
            </w:r>
            <w:r w:rsidR="00B61D0B">
              <w:t>h</w:t>
            </w:r>
            <w:r w:rsidRPr="00A652BB">
              <w:t xml:space="preserve">ome </w:t>
            </w:r>
            <w:r w:rsidR="00B61D0B">
              <w:t>h</w:t>
            </w:r>
            <w:r w:rsidRPr="00A652BB">
              <w:t xml:space="preserve">ealth </w:t>
            </w:r>
            <w:r w:rsidR="00B61D0B">
              <w:t>s</w:t>
            </w:r>
            <w:r w:rsidRPr="00A652BB">
              <w:t xml:space="preserve">ervice </w:t>
            </w:r>
            <w:r w:rsidR="00B61D0B">
              <w:t>o</w:t>
            </w:r>
            <w:r w:rsidRPr="00A652BB">
              <w:t xml:space="preserve">rganization in </w:t>
            </w:r>
            <w:r w:rsidR="00B61D0B">
              <w:t>a</w:t>
            </w:r>
            <w:r w:rsidRPr="00A652BB">
              <w:t xml:space="preserve">nticipation of </w:t>
            </w:r>
            <w:r w:rsidR="00B61D0B">
              <w:t>c</w:t>
            </w:r>
            <w:r w:rsidRPr="00A652BB">
              <w:t xml:space="preserve">overed </w:t>
            </w:r>
            <w:r w:rsidR="00B61D0B">
              <w:t>s</w:t>
            </w:r>
            <w:r w:rsidRPr="00A652BB">
              <w:t xml:space="preserve">killed </w:t>
            </w:r>
            <w:r w:rsidR="00B61D0B">
              <w:t>c</w:t>
            </w:r>
            <w:r w:rsidRPr="00A652BB">
              <w:t>are</w:t>
            </w:r>
            <w:r w:rsidR="00B61D0B">
              <w:t>.</w:t>
            </w:r>
            <w:r w:rsidR="00CC76B4" w:rsidRPr="00A652BB">
              <w:t xml:space="preserve"> </w:t>
            </w:r>
          </w:p>
        </w:tc>
      </w:tr>
      <w:tr w:rsidR="008819AB" w:rsidRPr="00A652BB" w14:paraId="496E1F7E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7C" w14:textId="77777777" w:rsidR="002510B4" w:rsidRPr="00A652BB" w:rsidRDefault="008819AB" w:rsidP="00A652BB">
            <w:pPr>
              <w:pStyle w:val="webnormal"/>
            </w:pPr>
            <w:r w:rsidRPr="00A652BB">
              <w:t>07</w:t>
            </w:r>
          </w:p>
        </w:tc>
        <w:tc>
          <w:tcPr>
            <w:tcW w:w="9630" w:type="dxa"/>
            <w:hideMark/>
          </w:tcPr>
          <w:p w14:paraId="496E1F7D" w14:textId="415F660D" w:rsidR="002510B4" w:rsidRPr="00A652BB" w:rsidRDefault="008819AB" w:rsidP="00A652BB">
            <w:pPr>
              <w:pStyle w:val="webnormal"/>
            </w:pPr>
            <w:r w:rsidRPr="00A652BB">
              <w:t xml:space="preserve">Left </w:t>
            </w:r>
            <w:r w:rsidR="00B61D0B">
              <w:t>a</w:t>
            </w:r>
            <w:r w:rsidRPr="00A652BB">
              <w:t xml:space="preserve">gainst </w:t>
            </w:r>
            <w:r w:rsidR="00B61D0B">
              <w:t>m</w:t>
            </w:r>
            <w:r w:rsidRPr="00A652BB">
              <w:t xml:space="preserve">edical </w:t>
            </w:r>
            <w:r w:rsidR="00B61D0B">
              <w:t>a</w:t>
            </w:r>
            <w:r w:rsidRPr="00A652BB">
              <w:t xml:space="preserve">dvice or </w:t>
            </w:r>
            <w:r w:rsidR="00B61D0B">
              <w:t>d</w:t>
            </w:r>
            <w:r w:rsidRPr="00A652BB">
              <w:t xml:space="preserve">iscontinued </w:t>
            </w:r>
            <w:r w:rsidR="00B61D0B">
              <w:t>c</w:t>
            </w:r>
            <w:r w:rsidRPr="00A652BB">
              <w:t>are</w:t>
            </w:r>
            <w:r w:rsidR="00B61D0B">
              <w:t>.</w:t>
            </w:r>
          </w:p>
        </w:tc>
      </w:tr>
      <w:tr w:rsidR="008819AB" w:rsidRPr="00A652BB" w14:paraId="496E1F81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7F" w14:textId="77777777" w:rsidR="002510B4" w:rsidRPr="00A652BB" w:rsidRDefault="008819AB" w:rsidP="00A652BB">
            <w:pPr>
              <w:pStyle w:val="webnormal"/>
            </w:pPr>
            <w:r w:rsidRPr="00A652BB">
              <w:t>09</w:t>
            </w:r>
          </w:p>
        </w:tc>
        <w:tc>
          <w:tcPr>
            <w:tcW w:w="9630" w:type="dxa"/>
            <w:hideMark/>
          </w:tcPr>
          <w:p w14:paraId="496E1F80" w14:textId="701414DA" w:rsidR="002510B4" w:rsidRPr="00A652BB" w:rsidRDefault="008819AB" w:rsidP="00A652BB">
            <w:pPr>
              <w:pStyle w:val="webnormal"/>
            </w:pPr>
            <w:r w:rsidRPr="00A652BB">
              <w:t xml:space="preserve">Admitted as an </w:t>
            </w:r>
            <w:r w:rsidR="00B61D0B">
              <w:t>i</w:t>
            </w:r>
            <w:r w:rsidRPr="00A652BB">
              <w:t xml:space="preserve">npatient to this </w:t>
            </w:r>
            <w:r w:rsidR="00B61D0B">
              <w:t>h</w:t>
            </w:r>
            <w:r w:rsidRPr="00A652BB">
              <w:t>ospital</w:t>
            </w:r>
            <w:r w:rsidR="00B61D0B">
              <w:t>.</w:t>
            </w:r>
          </w:p>
        </w:tc>
      </w:tr>
      <w:tr w:rsidR="008819AB" w:rsidRPr="00A652BB" w14:paraId="496E1F84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82" w14:textId="77777777" w:rsidR="002510B4" w:rsidRPr="00A652BB" w:rsidRDefault="008819AB" w:rsidP="00A652BB">
            <w:pPr>
              <w:pStyle w:val="webnormal"/>
            </w:pPr>
            <w:r w:rsidRPr="00A652BB">
              <w:t>20</w:t>
            </w:r>
          </w:p>
        </w:tc>
        <w:tc>
          <w:tcPr>
            <w:tcW w:w="9630" w:type="dxa"/>
            <w:hideMark/>
          </w:tcPr>
          <w:p w14:paraId="496E1F83" w14:textId="2718988B" w:rsidR="002510B4" w:rsidRPr="00A652BB" w:rsidRDefault="008819AB" w:rsidP="00A652BB">
            <w:pPr>
              <w:pStyle w:val="webnormal"/>
            </w:pPr>
            <w:r w:rsidRPr="00A652BB">
              <w:t>Expired (report only when the patient dies)</w:t>
            </w:r>
            <w:r w:rsidR="00B61D0B">
              <w:t>.</w:t>
            </w:r>
          </w:p>
        </w:tc>
      </w:tr>
      <w:tr w:rsidR="002F7149" w:rsidRPr="00A652BB" w14:paraId="65094938" w14:textId="77777777" w:rsidTr="00DE4752">
        <w:trPr>
          <w:tblCellSpacing w:w="15" w:type="dxa"/>
        </w:trPr>
        <w:tc>
          <w:tcPr>
            <w:tcW w:w="1170" w:type="dxa"/>
          </w:tcPr>
          <w:p w14:paraId="2E19BD26" w14:textId="304ACD13" w:rsidR="002F7149" w:rsidRPr="00A652BB" w:rsidRDefault="002F7149" w:rsidP="00A652BB">
            <w:pPr>
              <w:pStyle w:val="webnormal"/>
            </w:pPr>
            <w:r w:rsidRPr="00A652BB">
              <w:t>21</w:t>
            </w:r>
          </w:p>
        </w:tc>
        <w:tc>
          <w:tcPr>
            <w:tcW w:w="9630" w:type="dxa"/>
          </w:tcPr>
          <w:p w14:paraId="561FFD5F" w14:textId="659E1C62" w:rsidR="002F7149" w:rsidRPr="00A652BB" w:rsidRDefault="002F7149" w:rsidP="00A652BB">
            <w:pPr>
              <w:pStyle w:val="webnormal"/>
            </w:pPr>
            <w:r w:rsidRPr="00A652BB">
              <w:t xml:space="preserve">Discharged / </w:t>
            </w:r>
            <w:r w:rsidR="00B61D0B">
              <w:t>t</w:t>
            </w:r>
            <w:r w:rsidRPr="00A652BB">
              <w:t xml:space="preserve">ransferred to </w:t>
            </w:r>
            <w:r w:rsidR="00DF0BBF" w:rsidRPr="00A652BB">
              <w:t>court/law enforcement</w:t>
            </w:r>
            <w:r w:rsidR="00B61D0B">
              <w:t>.</w:t>
            </w:r>
          </w:p>
          <w:p w14:paraId="2C7A25CF" w14:textId="23FDF89C" w:rsidR="002F7149" w:rsidRPr="00A652BB" w:rsidRDefault="002F7149" w:rsidP="0041345D">
            <w:pPr>
              <w:pStyle w:val="webnormal"/>
            </w:pPr>
            <w:r w:rsidRPr="00A652BB">
              <w:t>Usage includes transfers to incarceration facilities such as jails, prisons, or other detention facilities.</w:t>
            </w:r>
          </w:p>
        </w:tc>
      </w:tr>
      <w:tr w:rsidR="008819AB" w:rsidRPr="00A652BB" w14:paraId="496E1F87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85" w14:textId="1B507DCA" w:rsidR="002510B4" w:rsidRPr="00A652BB" w:rsidRDefault="008819AB" w:rsidP="00A652BB">
            <w:pPr>
              <w:pStyle w:val="webnormal"/>
            </w:pPr>
            <w:r w:rsidRPr="00A652BB">
              <w:t>30</w:t>
            </w:r>
          </w:p>
        </w:tc>
        <w:tc>
          <w:tcPr>
            <w:tcW w:w="9630" w:type="dxa"/>
            <w:hideMark/>
          </w:tcPr>
          <w:p w14:paraId="496E1F86" w14:textId="72EBD811" w:rsidR="002510B4" w:rsidRPr="00A652BB" w:rsidRDefault="008819AB" w:rsidP="00A652BB">
            <w:pPr>
              <w:pStyle w:val="webnormal"/>
            </w:pPr>
            <w:r w:rsidRPr="00A652BB">
              <w:t xml:space="preserve">Still </w:t>
            </w:r>
            <w:r w:rsidR="00B61D0B">
              <w:t>p</w:t>
            </w:r>
            <w:r w:rsidRPr="00A652BB">
              <w:t xml:space="preserve">atient or </w:t>
            </w:r>
            <w:r w:rsidR="00B61D0B">
              <w:t>e</w:t>
            </w:r>
            <w:r w:rsidRPr="00A652BB">
              <w:t xml:space="preserve">xpected to </w:t>
            </w:r>
            <w:r w:rsidR="00B61D0B">
              <w:t>r</w:t>
            </w:r>
            <w:r w:rsidRPr="00A652BB">
              <w:t xml:space="preserve">eturn for </w:t>
            </w:r>
            <w:r w:rsidR="00B61D0B">
              <w:t>o</w:t>
            </w:r>
            <w:r w:rsidRPr="00A652BB">
              <w:t xml:space="preserve">utpatient </w:t>
            </w:r>
            <w:r w:rsidR="00B61D0B">
              <w:t>s</w:t>
            </w:r>
            <w:r w:rsidRPr="00A652BB">
              <w:t>ervices</w:t>
            </w:r>
            <w:r w:rsidR="00B61D0B">
              <w:t>.</w:t>
            </w:r>
          </w:p>
        </w:tc>
      </w:tr>
      <w:tr w:rsidR="008819AB" w:rsidRPr="00A652BB" w14:paraId="496E1F8A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88" w14:textId="77777777" w:rsidR="002510B4" w:rsidRPr="00A652BB" w:rsidRDefault="008819AB" w:rsidP="00A652BB">
            <w:pPr>
              <w:pStyle w:val="webnormal"/>
            </w:pPr>
            <w:r w:rsidRPr="00A652BB">
              <w:t>43</w:t>
            </w:r>
          </w:p>
        </w:tc>
        <w:tc>
          <w:tcPr>
            <w:tcW w:w="9630" w:type="dxa"/>
            <w:hideMark/>
          </w:tcPr>
          <w:p w14:paraId="496E1F89" w14:textId="6B449D71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B61D0B">
              <w:t>t</w:t>
            </w:r>
            <w:r w:rsidRPr="00A652BB">
              <w:t xml:space="preserve">ransferred to a </w:t>
            </w:r>
            <w:r w:rsidR="00B61D0B">
              <w:t>f</w:t>
            </w:r>
            <w:r w:rsidRPr="00A652BB">
              <w:t xml:space="preserve">ederal </w:t>
            </w:r>
            <w:r w:rsidR="00B61D0B">
              <w:t>h</w:t>
            </w:r>
            <w:r w:rsidRPr="00A652BB">
              <w:t xml:space="preserve">ospital: </w:t>
            </w:r>
            <w:r w:rsidR="00B61D0B">
              <w:t>d</w:t>
            </w:r>
            <w:r w:rsidRPr="00A652BB">
              <w:t xml:space="preserve">epartment of </w:t>
            </w:r>
            <w:r w:rsidR="00B61D0B">
              <w:t>d</w:t>
            </w:r>
            <w:r w:rsidRPr="00A652BB">
              <w:t xml:space="preserve">efense hospital, Veteran's administration hospital, Veteran’s administration nursing facility (to be used whether the </w:t>
            </w:r>
            <w:r w:rsidRPr="00A652BB">
              <w:lastRenderedPageBreak/>
              <w:t>patient lives there or not); also used when a patient is transferred to an inpatient psychiatric unit of a VA hospital.</w:t>
            </w:r>
          </w:p>
        </w:tc>
      </w:tr>
      <w:tr w:rsidR="008819AB" w:rsidRPr="00A652BB" w14:paraId="496E1F8D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8B" w14:textId="64E34489" w:rsidR="002510B4" w:rsidRPr="00A652BB" w:rsidRDefault="0047021A" w:rsidP="00A652BB">
            <w:pPr>
              <w:pStyle w:val="webnormal"/>
            </w:pPr>
            <w:r w:rsidRPr="00A652BB">
              <w:lastRenderedPageBreak/>
              <w:t>50</w:t>
            </w:r>
          </w:p>
        </w:tc>
        <w:tc>
          <w:tcPr>
            <w:tcW w:w="9630" w:type="dxa"/>
            <w:hideMark/>
          </w:tcPr>
          <w:p w14:paraId="43302CF7" w14:textId="44534009" w:rsidR="0047021A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B61D0B">
              <w:t>t</w:t>
            </w:r>
            <w:r w:rsidRPr="00A652BB">
              <w:t xml:space="preserve">ransferred to a </w:t>
            </w:r>
            <w:r w:rsidR="00B61D0B">
              <w:t>h</w:t>
            </w:r>
            <w:r w:rsidRPr="00A652BB">
              <w:t>ospice</w:t>
            </w:r>
            <w:r w:rsidR="0047021A" w:rsidRPr="00A652BB">
              <w:t xml:space="preserve"> for </w:t>
            </w:r>
            <w:r w:rsidR="00B61D0B">
              <w:t>r</w:t>
            </w:r>
            <w:r w:rsidR="0047021A" w:rsidRPr="00A652BB">
              <w:t xml:space="preserve">outine or </w:t>
            </w:r>
            <w:r w:rsidR="00B61D0B">
              <w:t>co</w:t>
            </w:r>
            <w:r w:rsidR="0047021A" w:rsidRPr="00A652BB">
              <w:t xml:space="preserve">ntinuous </w:t>
            </w:r>
            <w:r w:rsidR="00B61D0B">
              <w:t>h</w:t>
            </w:r>
            <w:r w:rsidR="0047021A" w:rsidRPr="00A652BB">
              <w:t xml:space="preserve">ome </w:t>
            </w:r>
            <w:r w:rsidR="00B61D0B">
              <w:t>c</w:t>
            </w:r>
            <w:r w:rsidR="0047021A" w:rsidRPr="00A652BB">
              <w:t>are</w:t>
            </w:r>
            <w:r w:rsidR="00B61D0B">
              <w:t>.</w:t>
            </w:r>
          </w:p>
          <w:p w14:paraId="496E1F8C" w14:textId="39CE8CAB" w:rsidR="0047021A" w:rsidRPr="00A652BB" w:rsidRDefault="0047021A" w:rsidP="00A652BB">
            <w:pPr>
              <w:pStyle w:val="webnormal"/>
            </w:pPr>
            <w:r w:rsidRPr="00A652BB">
              <w:t>This code should be used if the patient went to his/her own home or an alternative setting that is the patient’s “home,” such as a nursing facility, and will receive in-home hospice services.</w:t>
            </w:r>
          </w:p>
        </w:tc>
      </w:tr>
      <w:tr w:rsidR="0047021A" w:rsidRPr="00A652BB" w14:paraId="5DE1E54C" w14:textId="77777777" w:rsidTr="00DE4752">
        <w:trPr>
          <w:tblCellSpacing w:w="15" w:type="dxa"/>
        </w:trPr>
        <w:tc>
          <w:tcPr>
            <w:tcW w:w="1170" w:type="dxa"/>
          </w:tcPr>
          <w:p w14:paraId="2073C1CD" w14:textId="2A39D779" w:rsidR="0047021A" w:rsidRPr="00A652BB" w:rsidRDefault="0047021A" w:rsidP="00A652BB">
            <w:pPr>
              <w:pStyle w:val="webnormal"/>
            </w:pPr>
            <w:r w:rsidRPr="00A652BB">
              <w:t>51</w:t>
            </w:r>
          </w:p>
        </w:tc>
        <w:tc>
          <w:tcPr>
            <w:tcW w:w="9630" w:type="dxa"/>
          </w:tcPr>
          <w:p w14:paraId="27648FF3" w14:textId="397D1882" w:rsidR="0047021A" w:rsidRPr="00A652BB" w:rsidRDefault="0047021A" w:rsidP="00A652BB">
            <w:pPr>
              <w:pStyle w:val="webnormal"/>
            </w:pPr>
            <w:r w:rsidRPr="00A652BB">
              <w:t xml:space="preserve">Discharged / </w:t>
            </w:r>
            <w:r w:rsidR="00B61D0B">
              <w:t>tr</w:t>
            </w:r>
            <w:r w:rsidRPr="00A652BB">
              <w:t xml:space="preserve">ansferred to a </w:t>
            </w:r>
            <w:r w:rsidR="00B61D0B">
              <w:t>h</w:t>
            </w:r>
            <w:r w:rsidRPr="00A652BB">
              <w:t xml:space="preserve">ospice for </w:t>
            </w:r>
            <w:r w:rsidR="00B61D0B">
              <w:t>g</w:t>
            </w:r>
            <w:r w:rsidRPr="00A652BB">
              <w:t xml:space="preserve">eneral </w:t>
            </w:r>
            <w:r w:rsidR="00B61D0B">
              <w:t>i</w:t>
            </w:r>
            <w:r w:rsidRPr="00A652BB">
              <w:t xml:space="preserve">npatient </w:t>
            </w:r>
            <w:r w:rsidR="00B61D0B">
              <w:t>c</w:t>
            </w:r>
            <w:r w:rsidRPr="00A652BB">
              <w:t>are</w:t>
            </w:r>
            <w:r w:rsidR="00B61D0B">
              <w:t>.</w:t>
            </w:r>
          </w:p>
          <w:p w14:paraId="13DE9AB6" w14:textId="552E6515" w:rsidR="0047021A" w:rsidRPr="00A652BB" w:rsidRDefault="0047021A" w:rsidP="00A652BB">
            <w:pPr>
              <w:pStyle w:val="webnormal"/>
            </w:pPr>
            <w:r w:rsidRPr="00A652BB">
              <w:t xml:space="preserve">This code should be used if the patient went to an inpatient facility that is qualified and the patient is to receive the general inpatient hospice level of care. </w:t>
            </w:r>
          </w:p>
        </w:tc>
      </w:tr>
      <w:tr w:rsidR="008819AB" w:rsidRPr="00A652BB" w14:paraId="496E1F90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8E" w14:textId="77777777" w:rsidR="002510B4" w:rsidRPr="00A652BB" w:rsidRDefault="008819AB" w:rsidP="00A652BB">
            <w:pPr>
              <w:pStyle w:val="webnormal"/>
            </w:pPr>
            <w:r w:rsidRPr="00A652BB">
              <w:t>61</w:t>
            </w:r>
          </w:p>
        </w:tc>
        <w:tc>
          <w:tcPr>
            <w:tcW w:w="9630" w:type="dxa"/>
            <w:hideMark/>
          </w:tcPr>
          <w:p w14:paraId="496E1F8F" w14:textId="423584C6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B61D0B">
              <w:t>t</w:t>
            </w:r>
            <w:r w:rsidRPr="00A652BB">
              <w:t xml:space="preserve">ransferred to a </w:t>
            </w:r>
            <w:r w:rsidR="00B61D0B">
              <w:t>h</w:t>
            </w:r>
            <w:r w:rsidRPr="00A652BB">
              <w:t xml:space="preserve">ospital-based Medicare </w:t>
            </w:r>
            <w:r w:rsidR="00B61D0B">
              <w:t>a</w:t>
            </w:r>
            <w:r w:rsidRPr="00A652BB">
              <w:t xml:space="preserve">pproved </w:t>
            </w:r>
            <w:r w:rsidR="00B61D0B">
              <w:t>s</w:t>
            </w:r>
            <w:r w:rsidRPr="00A652BB">
              <w:t xml:space="preserve">wing </w:t>
            </w:r>
            <w:r w:rsidR="00B61D0B">
              <w:t>b</w:t>
            </w:r>
            <w:r w:rsidRPr="00A652BB">
              <w:t>ed</w:t>
            </w:r>
            <w:r w:rsidR="00B61D0B">
              <w:t>.</w:t>
            </w:r>
          </w:p>
        </w:tc>
      </w:tr>
      <w:tr w:rsidR="008819AB" w:rsidRPr="00A652BB" w14:paraId="496E1F93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91" w14:textId="77777777" w:rsidR="002510B4" w:rsidRPr="00A652BB" w:rsidRDefault="008819AB" w:rsidP="00A652BB">
            <w:pPr>
              <w:pStyle w:val="webnormal"/>
            </w:pPr>
            <w:r w:rsidRPr="00A652BB">
              <w:t>62</w:t>
            </w:r>
          </w:p>
        </w:tc>
        <w:tc>
          <w:tcPr>
            <w:tcW w:w="9630" w:type="dxa"/>
            <w:hideMark/>
          </w:tcPr>
          <w:p w14:paraId="496E1F92" w14:textId="0E44F855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B61D0B">
              <w:t>t</w:t>
            </w:r>
            <w:r w:rsidRPr="00A652BB">
              <w:t xml:space="preserve">ransferred to an </w:t>
            </w:r>
            <w:r w:rsidR="00B61D0B">
              <w:t>i</w:t>
            </w:r>
            <w:r w:rsidRPr="00A652BB">
              <w:t xml:space="preserve">npatient </w:t>
            </w:r>
            <w:r w:rsidR="00B61D0B">
              <w:t>r</w:t>
            </w:r>
            <w:r w:rsidRPr="00A652BB">
              <w:t xml:space="preserve">ehabilitation </w:t>
            </w:r>
            <w:r w:rsidR="00B61D0B">
              <w:t>f</w:t>
            </w:r>
            <w:r w:rsidRPr="00A652BB">
              <w:t xml:space="preserve">acility </w:t>
            </w:r>
            <w:r w:rsidR="00B61D0B">
              <w:t>i</w:t>
            </w:r>
            <w:r w:rsidRPr="00A652BB">
              <w:t xml:space="preserve">ncluding </w:t>
            </w:r>
            <w:r w:rsidR="00B61D0B">
              <w:t>d</w:t>
            </w:r>
            <w:r w:rsidRPr="00A652BB">
              <w:t xml:space="preserve">istinct </w:t>
            </w:r>
            <w:r w:rsidR="00B61D0B">
              <w:t>p</w:t>
            </w:r>
            <w:r w:rsidRPr="00A652BB">
              <w:t xml:space="preserve">art </w:t>
            </w:r>
            <w:r w:rsidR="00B61D0B">
              <w:t>u</w:t>
            </w:r>
            <w:r w:rsidRPr="00A652BB">
              <w:t xml:space="preserve">nits of a </w:t>
            </w:r>
            <w:r w:rsidR="00B61D0B">
              <w:t>h</w:t>
            </w:r>
            <w:r w:rsidRPr="00A652BB">
              <w:t>ospital</w:t>
            </w:r>
            <w:r w:rsidR="00B61D0B">
              <w:t>.</w:t>
            </w:r>
            <w:r w:rsidR="00CC76B4" w:rsidRPr="00A652BB">
              <w:t xml:space="preserve"> </w:t>
            </w:r>
          </w:p>
        </w:tc>
      </w:tr>
      <w:tr w:rsidR="008819AB" w:rsidRPr="00A652BB" w14:paraId="496E1F96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94" w14:textId="77777777" w:rsidR="002510B4" w:rsidRPr="00A652BB" w:rsidRDefault="008819AB" w:rsidP="00A652BB">
            <w:pPr>
              <w:pStyle w:val="webnormal"/>
            </w:pPr>
            <w:r w:rsidRPr="00A652BB">
              <w:t>63</w:t>
            </w:r>
          </w:p>
        </w:tc>
        <w:tc>
          <w:tcPr>
            <w:tcW w:w="9630" w:type="dxa"/>
            <w:hideMark/>
          </w:tcPr>
          <w:p w14:paraId="496E1F95" w14:textId="61BE9884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B61D0B">
              <w:t>t</w:t>
            </w:r>
            <w:r w:rsidRPr="00A652BB">
              <w:t xml:space="preserve">ransferred to </w:t>
            </w:r>
            <w:r w:rsidR="00B61D0B">
              <w:t>l</w:t>
            </w:r>
            <w:r w:rsidRPr="00A652BB">
              <w:t xml:space="preserve">ong </w:t>
            </w:r>
            <w:r w:rsidR="00B61D0B">
              <w:t>t</w:t>
            </w:r>
            <w:r w:rsidRPr="00A652BB">
              <w:t xml:space="preserve">erm </w:t>
            </w:r>
            <w:r w:rsidR="00D17D46">
              <w:t>c</w:t>
            </w:r>
            <w:r w:rsidRPr="00A652BB">
              <w:t xml:space="preserve">are </w:t>
            </w:r>
            <w:r w:rsidR="00D17D46">
              <w:t>h</w:t>
            </w:r>
            <w:r w:rsidRPr="00A652BB">
              <w:t>ospitals</w:t>
            </w:r>
            <w:r w:rsidR="00D17D46">
              <w:t xml:space="preserve"> (LTCH)</w:t>
            </w:r>
            <w:r w:rsidR="00B61D0B">
              <w:t>.</w:t>
            </w:r>
            <w:r w:rsidR="00CC76B4" w:rsidRPr="00A652BB">
              <w:t xml:space="preserve"> </w:t>
            </w:r>
          </w:p>
        </w:tc>
      </w:tr>
      <w:tr w:rsidR="008819AB" w:rsidRPr="00A652BB" w14:paraId="496E1F99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97" w14:textId="77777777" w:rsidR="002510B4" w:rsidRPr="00A652BB" w:rsidRDefault="008819AB" w:rsidP="00A652BB">
            <w:pPr>
              <w:pStyle w:val="webnormal"/>
            </w:pPr>
            <w:r w:rsidRPr="00A652BB">
              <w:t>64</w:t>
            </w:r>
          </w:p>
        </w:tc>
        <w:tc>
          <w:tcPr>
            <w:tcW w:w="9630" w:type="dxa"/>
            <w:hideMark/>
          </w:tcPr>
          <w:p w14:paraId="496E1F98" w14:textId="78C6E07A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D17D46">
              <w:t>t</w:t>
            </w:r>
            <w:r w:rsidRPr="00A652BB">
              <w:t xml:space="preserve">ransferred to a </w:t>
            </w:r>
            <w:r w:rsidR="00D17D46">
              <w:t>n</w:t>
            </w:r>
            <w:r w:rsidRPr="00A652BB">
              <w:t xml:space="preserve">ursing </w:t>
            </w:r>
            <w:r w:rsidR="00D17D46">
              <w:t>f</w:t>
            </w:r>
            <w:r w:rsidRPr="00A652BB">
              <w:t xml:space="preserve">acility </w:t>
            </w:r>
            <w:r w:rsidR="00D17D46">
              <w:t>c</w:t>
            </w:r>
            <w:r w:rsidRPr="00A652BB">
              <w:t xml:space="preserve">ertified </w:t>
            </w:r>
            <w:r w:rsidR="00D17D46">
              <w:t>u</w:t>
            </w:r>
            <w:r w:rsidRPr="00A652BB">
              <w:t>nder Medicaid</w:t>
            </w:r>
            <w:r w:rsidR="0041345D">
              <w:t>,</w:t>
            </w:r>
            <w:r w:rsidRPr="00A652BB">
              <w:t xml:space="preserve"> but not </w:t>
            </w:r>
            <w:r w:rsidR="00D17D46">
              <w:t>c</w:t>
            </w:r>
            <w:r w:rsidRPr="00A652BB">
              <w:t xml:space="preserve">ertified </w:t>
            </w:r>
            <w:r w:rsidR="00D17D46">
              <w:t>u</w:t>
            </w:r>
            <w:r w:rsidRPr="00A652BB">
              <w:t>nder Medicare</w:t>
            </w:r>
          </w:p>
        </w:tc>
      </w:tr>
      <w:tr w:rsidR="008819AB" w:rsidRPr="00A652BB" w14:paraId="496E1F9C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9A" w14:textId="77777777" w:rsidR="002510B4" w:rsidRPr="00A652BB" w:rsidRDefault="008819AB" w:rsidP="00A652BB">
            <w:pPr>
              <w:pStyle w:val="webnormal"/>
            </w:pPr>
            <w:r w:rsidRPr="00A652BB">
              <w:t>65</w:t>
            </w:r>
          </w:p>
        </w:tc>
        <w:tc>
          <w:tcPr>
            <w:tcW w:w="9630" w:type="dxa"/>
            <w:hideMark/>
          </w:tcPr>
          <w:p w14:paraId="496E1F9B" w14:textId="0039E308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D17D46">
              <w:t>t</w:t>
            </w:r>
            <w:r w:rsidRPr="00A652BB">
              <w:t xml:space="preserve">ransferred to a </w:t>
            </w:r>
            <w:r w:rsidR="00D17D46">
              <w:t>p</w:t>
            </w:r>
            <w:r w:rsidRPr="00A652BB">
              <w:t xml:space="preserve">sychiatric </w:t>
            </w:r>
            <w:r w:rsidR="00D17D46">
              <w:t>h</w:t>
            </w:r>
            <w:r w:rsidRPr="00A652BB">
              <w:t xml:space="preserve">ospital or </w:t>
            </w:r>
            <w:r w:rsidR="00D17D46">
              <w:t>p</w:t>
            </w:r>
            <w:r w:rsidRPr="00A652BB">
              <w:t xml:space="preserve">sychiatric </w:t>
            </w:r>
            <w:r w:rsidR="00D17D46">
              <w:t>d</w:t>
            </w:r>
            <w:r w:rsidRPr="00A652BB">
              <w:t xml:space="preserve">istinct </w:t>
            </w:r>
            <w:r w:rsidR="00D17D46">
              <w:t>p</w:t>
            </w:r>
            <w:r w:rsidRPr="00A652BB">
              <w:t xml:space="preserve">art </w:t>
            </w:r>
            <w:r w:rsidR="00D17D46">
              <w:t>u</w:t>
            </w:r>
            <w:r w:rsidRPr="00A652BB">
              <w:t xml:space="preserve">nit of a </w:t>
            </w:r>
            <w:r w:rsidR="00D17D46">
              <w:t>h</w:t>
            </w:r>
            <w:r w:rsidRPr="00A652BB">
              <w:t>ospital</w:t>
            </w:r>
            <w:r w:rsidR="00B61D0B">
              <w:t>.</w:t>
            </w:r>
            <w:r w:rsidR="00CC76B4" w:rsidRPr="00A652BB">
              <w:t xml:space="preserve"> </w:t>
            </w:r>
          </w:p>
        </w:tc>
      </w:tr>
      <w:tr w:rsidR="008819AB" w:rsidRPr="00A652BB" w14:paraId="496E1F9F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9D" w14:textId="77777777" w:rsidR="002510B4" w:rsidRPr="00A652BB" w:rsidRDefault="008819AB" w:rsidP="00A652BB">
            <w:pPr>
              <w:pStyle w:val="webnormal"/>
            </w:pPr>
            <w:r w:rsidRPr="00A652BB">
              <w:t>66</w:t>
            </w:r>
          </w:p>
        </w:tc>
        <w:tc>
          <w:tcPr>
            <w:tcW w:w="9630" w:type="dxa"/>
            <w:hideMark/>
          </w:tcPr>
          <w:p w14:paraId="496E1F9E" w14:textId="66F6F1B9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D17D46">
              <w:t>t</w:t>
            </w:r>
            <w:r w:rsidRPr="00A652BB">
              <w:t xml:space="preserve">ransferred to a </w:t>
            </w:r>
            <w:r w:rsidR="00D17D46">
              <w:t>c</w:t>
            </w:r>
            <w:r w:rsidRPr="00A652BB">
              <w:t xml:space="preserve">ritical </w:t>
            </w:r>
            <w:r w:rsidR="00D17D46">
              <w:t>a</w:t>
            </w:r>
            <w:r w:rsidRPr="00A652BB">
              <w:t xml:space="preserve">ccess </w:t>
            </w:r>
            <w:r w:rsidR="00D17D46">
              <w:t>h</w:t>
            </w:r>
            <w:r w:rsidRPr="00A652BB">
              <w:t>ospital (CAH)</w:t>
            </w:r>
            <w:r w:rsidR="00B61D0B">
              <w:t>.</w:t>
            </w:r>
            <w:r w:rsidR="00CC76B4" w:rsidRPr="00A652BB">
              <w:t xml:space="preserve"> </w:t>
            </w:r>
          </w:p>
        </w:tc>
      </w:tr>
      <w:tr w:rsidR="008819AB" w:rsidRPr="00A652BB" w14:paraId="496E1FA2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A0" w14:textId="77777777" w:rsidR="002510B4" w:rsidRPr="00A652BB" w:rsidRDefault="008819AB" w:rsidP="00A652BB">
            <w:pPr>
              <w:pStyle w:val="webnormal"/>
            </w:pPr>
            <w:r w:rsidRPr="00A652BB">
              <w:t>69</w:t>
            </w:r>
          </w:p>
        </w:tc>
        <w:tc>
          <w:tcPr>
            <w:tcW w:w="9630" w:type="dxa"/>
            <w:hideMark/>
          </w:tcPr>
          <w:p w14:paraId="496E1FA1" w14:textId="45CFD23D" w:rsidR="002510B4" w:rsidRPr="00A652BB" w:rsidRDefault="008819AB" w:rsidP="00A652BB">
            <w:pPr>
              <w:pStyle w:val="webnormal"/>
            </w:pPr>
            <w:r w:rsidRPr="00A652BB">
              <w:t>Discharge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="00D17D46">
              <w:t>t</w:t>
            </w:r>
            <w:r w:rsidRPr="00A652BB">
              <w:t xml:space="preserve">ransfer to a </w:t>
            </w:r>
            <w:r w:rsidR="00D17D46">
              <w:t>d</w:t>
            </w:r>
            <w:r w:rsidRPr="00A652BB">
              <w:t xml:space="preserve">esignated </w:t>
            </w:r>
            <w:r w:rsidR="00D17D46">
              <w:t>d</w:t>
            </w:r>
            <w:r w:rsidRPr="00A652BB">
              <w:t xml:space="preserve">isaster </w:t>
            </w:r>
            <w:r w:rsidR="00D17D46">
              <w:t>a</w:t>
            </w:r>
            <w:r w:rsidRPr="00A652BB">
              <w:t xml:space="preserve">lternative </w:t>
            </w:r>
            <w:r w:rsidR="00D17D46">
              <w:t>c</w:t>
            </w:r>
            <w:r w:rsidRPr="00A652BB">
              <w:t>are</w:t>
            </w:r>
            <w:r w:rsidR="00D17D46">
              <w:t xml:space="preserve"> s</w:t>
            </w:r>
            <w:r w:rsidRPr="00A652BB">
              <w:t>ite</w:t>
            </w:r>
            <w:r w:rsidR="007E0C3B">
              <w:t>.</w:t>
            </w:r>
          </w:p>
        </w:tc>
      </w:tr>
      <w:tr w:rsidR="008819AB" w:rsidRPr="00A652BB" w14:paraId="496E1FA5" w14:textId="77777777" w:rsidTr="00DE4752">
        <w:trPr>
          <w:tblCellSpacing w:w="15" w:type="dxa"/>
        </w:trPr>
        <w:tc>
          <w:tcPr>
            <w:tcW w:w="1170" w:type="dxa"/>
            <w:hideMark/>
          </w:tcPr>
          <w:p w14:paraId="496E1FA3" w14:textId="77777777" w:rsidR="002510B4" w:rsidRPr="00A652BB" w:rsidRDefault="008819AB" w:rsidP="00A652BB">
            <w:pPr>
              <w:pStyle w:val="webnormal"/>
            </w:pPr>
            <w:r w:rsidRPr="00A652BB">
              <w:t>70</w:t>
            </w:r>
          </w:p>
        </w:tc>
        <w:tc>
          <w:tcPr>
            <w:tcW w:w="9630" w:type="dxa"/>
            <w:hideMark/>
          </w:tcPr>
          <w:p w14:paraId="496E1FA4" w14:textId="35C6FB48" w:rsidR="002510B4" w:rsidRPr="00A652BB" w:rsidRDefault="008819AB" w:rsidP="00A652BB">
            <w:pPr>
              <w:pStyle w:val="webnormal"/>
            </w:pPr>
            <w:r w:rsidRPr="00A652BB">
              <w:t>Discharged</w:t>
            </w:r>
            <w:r w:rsidR="00B94824" w:rsidRPr="00A652BB">
              <w:t xml:space="preserve"> </w:t>
            </w:r>
            <w:r w:rsidRPr="00A652BB">
              <w:t>/</w:t>
            </w:r>
            <w:r w:rsidR="00B94824" w:rsidRPr="00A652BB">
              <w:t xml:space="preserve"> </w:t>
            </w:r>
            <w:r w:rsidRPr="00A652BB">
              <w:t xml:space="preserve">transferred to another </w:t>
            </w:r>
            <w:r w:rsidR="00D17D46">
              <w:t>t</w:t>
            </w:r>
            <w:r w:rsidRPr="00A652BB">
              <w:t xml:space="preserve">ype of </w:t>
            </w:r>
            <w:r w:rsidR="00D17D46">
              <w:t>h</w:t>
            </w:r>
            <w:r w:rsidRPr="00A652BB">
              <w:t xml:space="preserve">ealth </w:t>
            </w:r>
            <w:r w:rsidR="00D17D46">
              <w:t>c</w:t>
            </w:r>
            <w:r w:rsidRPr="00A652BB">
              <w:t>are</w:t>
            </w:r>
            <w:r w:rsidR="00D17D46">
              <w:t xml:space="preserve"> i</w:t>
            </w:r>
            <w:r w:rsidRPr="00A652BB">
              <w:t xml:space="preserve">nstitution not </w:t>
            </w:r>
            <w:r w:rsidR="00D17D46">
              <w:t>d</w:t>
            </w:r>
            <w:r w:rsidRPr="00A652BB">
              <w:t xml:space="preserve">efined </w:t>
            </w:r>
            <w:r w:rsidR="00D17D46">
              <w:t>e</w:t>
            </w:r>
            <w:r w:rsidRPr="00A652BB">
              <w:t xml:space="preserve">lsewhere in this </w:t>
            </w:r>
            <w:r w:rsidR="00D17D46">
              <w:t>l</w:t>
            </w:r>
            <w:r w:rsidRPr="00A652BB">
              <w:t>ist</w:t>
            </w:r>
            <w:r w:rsidR="007E0C3B">
              <w:t>.</w:t>
            </w:r>
          </w:p>
        </w:tc>
      </w:tr>
      <w:tr w:rsidR="007E0C3B" w:rsidRPr="00A652BB" w14:paraId="20A1025F" w14:textId="77777777" w:rsidTr="00DE4752">
        <w:trPr>
          <w:tblCellSpacing w:w="15" w:type="dxa"/>
        </w:trPr>
        <w:tc>
          <w:tcPr>
            <w:tcW w:w="1170" w:type="dxa"/>
          </w:tcPr>
          <w:p w14:paraId="41CC6E06" w14:textId="1CC210E9" w:rsidR="007E0C3B" w:rsidRPr="00A652BB" w:rsidRDefault="007E0C3B" w:rsidP="00A652BB">
            <w:pPr>
              <w:pStyle w:val="webnormal"/>
            </w:pPr>
            <w:r>
              <w:t>82</w:t>
            </w:r>
          </w:p>
        </w:tc>
        <w:tc>
          <w:tcPr>
            <w:tcW w:w="9630" w:type="dxa"/>
          </w:tcPr>
          <w:p w14:paraId="5AA5AB14" w14:textId="2E50F8AA" w:rsidR="007E0C3B" w:rsidRPr="00A652BB" w:rsidRDefault="007E0C3B" w:rsidP="00A652BB">
            <w:pPr>
              <w:pStyle w:val="webnormal"/>
            </w:pPr>
            <w:r w:rsidRPr="007E0C3B">
              <w:t>Discharged</w:t>
            </w:r>
            <w:r w:rsidR="00D17D46">
              <w:t xml:space="preserve"> </w:t>
            </w:r>
            <w:r w:rsidRPr="007E0C3B">
              <w:t>/</w:t>
            </w:r>
            <w:r w:rsidR="00D17D46">
              <w:t xml:space="preserve"> </w:t>
            </w:r>
            <w:r w:rsidRPr="007E0C3B">
              <w:t>transferred to a short</w:t>
            </w:r>
            <w:r w:rsidR="00D17D46">
              <w:t>-</w:t>
            </w:r>
            <w:r w:rsidRPr="007E0C3B">
              <w:t>term general hospital for inpatient care with a planned acute care hospital inpatient readmission</w:t>
            </w:r>
            <w:r>
              <w:t>.</w:t>
            </w:r>
          </w:p>
        </w:tc>
      </w:tr>
      <w:tr w:rsidR="007E0C3B" w:rsidRPr="00A652BB" w14:paraId="2A0BB052" w14:textId="77777777" w:rsidTr="00DE4752">
        <w:trPr>
          <w:tblCellSpacing w:w="15" w:type="dxa"/>
        </w:trPr>
        <w:tc>
          <w:tcPr>
            <w:tcW w:w="1170" w:type="dxa"/>
          </w:tcPr>
          <w:p w14:paraId="7CC3A471" w14:textId="227EDA32" w:rsidR="007E0C3B" w:rsidRDefault="007E0C3B" w:rsidP="00A652BB">
            <w:pPr>
              <w:pStyle w:val="webnormal"/>
            </w:pPr>
            <w:r>
              <w:t>83</w:t>
            </w:r>
          </w:p>
        </w:tc>
        <w:tc>
          <w:tcPr>
            <w:tcW w:w="9630" w:type="dxa"/>
          </w:tcPr>
          <w:p w14:paraId="78889010" w14:textId="545A6645" w:rsidR="007E0C3B" w:rsidRPr="007E0C3B" w:rsidRDefault="007E0C3B" w:rsidP="00A652BB">
            <w:pPr>
              <w:pStyle w:val="webnormal"/>
            </w:pPr>
            <w:r w:rsidRPr="007E0C3B">
              <w:t>Discharged</w:t>
            </w:r>
            <w:r w:rsidR="00D17D46">
              <w:t xml:space="preserve"> </w:t>
            </w:r>
            <w:r w:rsidRPr="007E0C3B">
              <w:t>/</w:t>
            </w:r>
            <w:r w:rsidR="00D17D46">
              <w:t xml:space="preserve"> </w:t>
            </w:r>
            <w:r w:rsidRPr="007E0C3B">
              <w:t>transferred to a SNF with Medicare certification with a planned acute care hospital inpatient readmission</w:t>
            </w:r>
            <w:r>
              <w:t>.</w:t>
            </w:r>
          </w:p>
        </w:tc>
      </w:tr>
      <w:tr w:rsidR="00B61D0B" w:rsidRPr="00A652BB" w14:paraId="0F08F78A" w14:textId="77777777" w:rsidTr="00DE4752">
        <w:trPr>
          <w:tblCellSpacing w:w="15" w:type="dxa"/>
        </w:trPr>
        <w:tc>
          <w:tcPr>
            <w:tcW w:w="1170" w:type="dxa"/>
          </w:tcPr>
          <w:p w14:paraId="7A8B93EA" w14:textId="2017FDF5" w:rsidR="00B61D0B" w:rsidRDefault="00B61D0B" w:rsidP="00A652BB">
            <w:pPr>
              <w:pStyle w:val="webnormal"/>
            </w:pPr>
            <w:r>
              <w:t>85</w:t>
            </w:r>
          </w:p>
        </w:tc>
        <w:tc>
          <w:tcPr>
            <w:tcW w:w="9630" w:type="dxa"/>
          </w:tcPr>
          <w:p w14:paraId="57B67DE7" w14:textId="79BE7104" w:rsidR="00B61D0B" w:rsidRPr="007E0C3B" w:rsidRDefault="00B61D0B" w:rsidP="00A652BB">
            <w:pPr>
              <w:pStyle w:val="webnormal"/>
            </w:pPr>
            <w:r w:rsidRPr="00B61D0B">
              <w:t>Discharged</w:t>
            </w:r>
            <w:r w:rsidR="00D17D46">
              <w:t xml:space="preserve"> </w:t>
            </w:r>
            <w:r w:rsidRPr="00B61D0B">
              <w:t>/</w:t>
            </w:r>
            <w:r w:rsidR="00D17D46">
              <w:t xml:space="preserve"> </w:t>
            </w:r>
            <w:r w:rsidRPr="00B61D0B">
              <w:t>transferred to a designated cancer center or children's hospital with a planned acute care hospital inpatient readmission</w:t>
            </w:r>
            <w:r>
              <w:t>.</w:t>
            </w:r>
          </w:p>
        </w:tc>
      </w:tr>
      <w:tr w:rsidR="00B61D0B" w:rsidRPr="00A652BB" w14:paraId="0DAFF9E7" w14:textId="77777777" w:rsidTr="00DE4752">
        <w:trPr>
          <w:tblCellSpacing w:w="15" w:type="dxa"/>
        </w:trPr>
        <w:tc>
          <w:tcPr>
            <w:tcW w:w="1170" w:type="dxa"/>
          </w:tcPr>
          <w:p w14:paraId="319A26B7" w14:textId="747140EC" w:rsidR="00B61D0B" w:rsidRDefault="00B61D0B" w:rsidP="00A652BB">
            <w:pPr>
              <w:pStyle w:val="webnormal"/>
            </w:pPr>
            <w:r>
              <w:t>86</w:t>
            </w:r>
          </w:p>
        </w:tc>
        <w:tc>
          <w:tcPr>
            <w:tcW w:w="9630" w:type="dxa"/>
          </w:tcPr>
          <w:p w14:paraId="01CC178C" w14:textId="6EDDB986" w:rsidR="00B61D0B" w:rsidRPr="00B61D0B" w:rsidRDefault="00B61D0B" w:rsidP="00A652BB">
            <w:pPr>
              <w:pStyle w:val="webnormal"/>
            </w:pPr>
            <w:r w:rsidRPr="00B61D0B">
              <w:t>Discharged</w:t>
            </w:r>
            <w:r w:rsidR="00D17D46">
              <w:t xml:space="preserve"> </w:t>
            </w:r>
            <w:r w:rsidRPr="00B61D0B">
              <w:t>/</w:t>
            </w:r>
            <w:r w:rsidR="00D17D46">
              <w:t xml:space="preserve"> </w:t>
            </w:r>
            <w:r w:rsidRPr="00B61D0B">
              <w:t>transferred to home under care of organized home health service organization with a planned acute care hospital inpatient readmission</w:t>
            </w:r>
            <w:r>
              <w:t>.</w:t>
            </w:r>
          </w:p>
        </w:tc>
      </w:tr>
      <w:tr w:rsidR="00B61D0B" w:rsidRPr="00A652BB" w14:paraId="0E78860C" w14:textId="77777777" w:rsidTr="00DE4752">
        <w:trPr>
          <w:tblCellSpacing w:w="15" w:type="dxa"/>
        </w:trPr>
        <w:tc>
          <w:tcPr>
            <w:tcW w:w="1170" w:type="dxa"/>
          </w:tcPr>
          <w:p w14:paraId="3903587E" w14:textId="694D0BBB" w:rsidR="00B61D0B" w:rsidRDefault="00B61D0B" w:rsidP="00A652BB">
            <w:pPr>
              <w:pStyle w:val="webnormal"/>
            </w:pPr>
            <w:r>
              <w:t>90</w:t>
            </w:r>
          </w:p>
        </w:tc>
        <w:tc>
          <w:tcPr>
            <w:tcW w:w="9630" w:type="dxa"/>
          </w:tcPr>
          <w:p w14:paraId="5066AFF1" w14:textId="2007C09E" w:rsidR="00B61D0B" w:rsidRPr="00B61D0B" w:rsidRDefault="00B61D0B" w:rsidP="00A652BB">
            <w:pPr>
              <w:pStyle w:val="webnormal"/>
            </w:pPr>
            <w:r w:rsidRPr="00B61D0B">
              <w:t>Discharged</w:t>
            </w:r>
            <w:r w:rsidR="00D17D46">
              <w:t xml:space="preserve"> </w:t>
            </w:r>
            <w:r w:rsidRPr="00B61D0B">
              <w:t>/</w:t>
            </w:r>
            <w:r w:rsidR="00D17D46">
              <w:t xml:space="preserve"> </w:t>
            </w:r>
            <w:r w:rsidRPr="00B61D0B">
              <w:t>transferred to an IRF including rehabilitation distinct part units of a hospital with a planned acute care hospital inpatient readmission</w:t>
            </w:r>
            <w:r>
              <w:t>.</w:t>
            </w:r>
          </w:p>
        </w:tc>
      </w:tr>
      <w:tr w:rsidR="00B61D0B" w:rsidRPr="00A652BB" w14:paraId="0458A915" w14:textId="77777777" w:rsidTr="00DE4752">
        <w:trPr>
          <w:tblCellSpacing w:w="15" w:type="dxa"/>
        </w:trPr>
        <w:tc>
          <w:tcPr>
            <w:tcW w:w="1170" w:type="dxa"/>
          </w:tcPr>
          <w:p w14:paraId="09D5A297" w14:textId="5DFBE32D" w:rsidR="00B61D0B" w:rsidRDefault="00B61D0B" w:rsidP="00A652BB">
            <w:pPr>
              <w:pStyle w:val="webnormal"/>
            </w:pPr>
            <w:r>
              <w:t>91</w:t>
            </w:r>
          </w:p>
        </w:tc>
        <w:tc>
          <w:tcPr>
            <w:tcW w:w="9630" w:type="dxa"/>
          </w:tcPr>
          <w:p w14:paraId="63CB2BB5" w14:textId="64753062" w:rsidR="00B61D0B" w:rsidRPr="00B61D0B" w:rsidRDefault="00B61D0B" w:rsidP="00A652BB">
            <w:pPr>
              <w:pStyle w:val="webnormal"/>
            </w:pPr>
            <w:r w:rsidRPr="00B61D0B">
              <w:t>Discharged/transferred to a Medicare certified long term care hospital with a planned acute care hospital inpatient readmission</w:t>
            </w:r>
            <w:r>
              <w:t>.</w:t>
            </w:r>
          </w:p>
        </w:tc>
      </w:tr>
      <w:tr w:rsidR="00B61D0B" w:rsidRPr="00A652BB" w14:paraId="5AF50842" w14:textId="77777777" w:rsidTr="00DE4752">
        <w:trPr>
          <w:tblCellSpacing w:w="15" w:type="dxa"/>
        </w:trPr>
        <w:tc>
          <w:tcPr>
            <w:tcW w:w="1170" w:type="dxa"/>
          </w:tcPr>
          <w:p w14:paraId="14E1AED1" w14:textId="1B385B11" w:rsidR="00B61D0B" w:rsidRDefault="00B61D0B" w:rsidP="00A652BB">
            <w:pPr>
              <w:pStyle w:val="webnormal"/>
            </w:pPr>
            <w:r>
              <w:lastRenderedPageBreak/>
              <w:t>93</w:t>
            </w:r>
          </w:p>
        </w:tc>
        <w:tc>
          <w:tcPr>
            <w:tcW w:w="9630" w:type="dxa"/>
          </w:tcPr>
          <w:p w14:paraId="30FC527B" w14:textId="1B3C4329" w:rsidR="00B61D0B" w:rsidRPr="00B61D0B" w:rsidRDefault="00B61D0B" w:rsidP="00A652BB">
            <w:pPr>
              <w:pStyle w:val="webnormal"/>
            </w:pPr>
            <w:r w:rsidRPr="00B61D0B">
              <w:t>Discharged</w:t>
            </w:r>
            <w:r>
              <w:t xml:space="preserve"> </w:t>
            </w:r>
            <w:r w:rsidRPr="00B61D0B">
              <w:t>/</w:t>
            </w:r>
            <w:r>
              <w:t xml:space="preserve"> </w:t>
            </w:r>
            <w:r w:rsidRPr="00B61D0B">
              <w:t>transferred to a psychiatric hospital or psychiatric distinct part unit of a hospital with a planned acute care hospital inpatient readmission</w:t>
            </w:r>
            <w:r>
              <w:t>.</w:t>
            </w:r>
          </w:p>
        </w:tc>
      </w:tr>
      <w:tr w:rsidR="00B61D0B" w:rsidRPr="00A652BB" w14:paraId="12612918" w14:textId="77777777" w:rsidTr="00DE4752">
        <w:trPr>
          <w:tblCellSpacing w:w="15" w:type="dxa"/>
        </w:trPr>
        <w:tc>
          <w:tcPr>
            <w:tcW w:w="1170" w:type="dxa"/>
          </w:tcPr>
          <w:p w14:paraId="24297678" w14:textId="1FD84EAB" w:rsidR="00B61D0B" w:rsidRDefault="00B61D0B" w:rsidP="00A652BB">
            <w:pPr>
              <w:pStyle w:val="webnormal"/>
            </w:pPr>
            <w:r>
              <w:t>94</w:t>
            </w:r>
          </w:p>
        </w:tc>
        <w:tc>
          <w:tcPr>
            <w:tcW w:w="9630" w:type="dxa"/>
          </w:tcPr>
          <w:p w14:paraId="65B2AB43" w14:textId="7287B2A1" w:rsidR="00B61D0B" w:rsidRPr="00B61D0B" w:rsidRDefault="00B61D0B" w:rsidP="00A652BB">
            <w:pPr>
              <w:pStyle w:val="webnormal"/>
            </w:pPr>
            <w:r w:rsidRPr="00B61D0B">
              <w:t>Discharged</w:t>
            </w:r>
            <w:r>
              <w:t xml:space="preserve"> </w:t>
            </w:r>
            <w:r w:rsidRPr="00B61D0B">
              <w:t>/</w:t>
            </w:r>
            <w:r>
              <w:t xml:space="preserve"> </w:t>
            </w:r>
            <w:r w:rsidRPr="00B61D0B">
              <w:t>transferred to a CAH with a planned acute care hospital inpatient readmission</w:t>
            </w:r>
            <w:r>
              <w:t>.</w:t>
            </w:r>
          </w:p>
        </w:tc>
      </w:tr>
    </w:tbl>
    <w:p w14:paraId="496E1FA7" w14:textId="77777777" w:rsidR="00E777B5" w:rsidRDefault="00E777B5" w:rsidP="00E777B5">
      <w:pPr>
        <w:pStyle w:val="webheader2"/>
      </w:pPr>
      <w:r>
        <w:t>Guidelines</w:t>
      </w:r>
    </w:p>
    <w:p w14:paraId="496E1FA8" w14:textId="2E74B659" w:rsidR="008819AB" w:rsidRDefault="00F74BDE" w:rsidP="00F70734">
      <w:pPr>
        <w:pStyle w:val="webnormal"/>
      </w:pPr>
      <w:r w:rsidRPr="00F70734">
        <w:t xml:space="preserve">Medicare requires that when </w:t>
      </w:r>
      <w:r w:rsidR="009030A0" w:rsidRPr="00F70734">
        <w:t xml:space="preserve">discharging </w:t>
      </w:r>
      <w:r w:rsidRPr="00F70734">
        <w:t xml:space="preserve">a patient from an inpatient stay, the discharging facility reports the discharge disposition in the “Patient Discharge Status” </w:t>
      </w:r>
      <w:r w:rsidR="009030A0" w:rsidRPr="00F70734">
        <w:t>field (FL 17).</w:t>
      </w:r>
      <w:r w:rsidRPr="00F70734">
        <w:t xml:space="preserve"> </w:t>
      </w:r>
    </w:p>
    <w:p w14:paraId="496E1FA9" w14:textId="134D6189" w:rsidR="008819AB" w:rsidRDefault="00F74BDE" w:rsidP="00F70734">
      <w:pPr>
        <w:pStyle w:val="webnormal"/>
      </w:pPr>
      <w:r w:rsidRPr="00F70734">
        <w:t>The claim must include the discharge status code that most accurately reflects the discharge of the patient.</w:t>
      </w:r>
      <w:r w:rsidR="009030A0" w:rsidRPr="00F70734">
        <w:t xml:space="preserve"> </w:t>
      </w:r>
      <w:r w:rsidRPr="00F70734">
        <w:t>However, in certain instances (left against medical advice, same day readmissions, etc.) the Fiscal Intermediary Shared System</w:t>
      </w:r>
      <w:r w:rsidR="00F70734">
        <w:t xml:space="preserve"> </w:t>
      </w:r>
      <w:r w:rsidR="0008004D">
        <w:t>cannot</w:t>
      </w:r>
      <w:r w:rsidRPr="00F70734">
        <w:t xml:space="preserve"> decipher between a discharge and readmission on the same day</w:t>
      </w:r>
      <w:r w:rsidR="008819AB">
        <w:t xml:space="preserve">, which </w:t>
      </w:r>
      <w:r w:rsidR="0008004D">
        <w:t>may cause claims</w:t>
      </w:r>
      <w:r w:rsidR="008819AB">
        <w:t xml:space="preserve"> to return to </w:t>
      </w:r>
      <w:r w:rsidR="00715437">
        <w:t>you</w:t>
      </w:r>
      <w:r w:rsidR="008819AB">
        <w:t xml:space="preserve"> </w:t>
      </w:r>
      <w:r w:rsidRPr="00F70734">
        <w:t xml:space="preserve">indicating that the prior claim submission does not reflect the correct discharge disposition </w:t>
      </w:r>
      <w:r w:rsidR="008819AB">
        <w:t xml:space="preserve">related to </w:t>
      </w:r>
      <w:r w:rsidRPr="00F70734">
        <w:t>the same day inpatient readmission.</w:t>
      </w:r>
      <w:r w:rsidR="009030A0" w:rsidRPr="00F70734">
        <w:t xml:space="preserve"> </w:t>
      </w:r>
      <w:r w:rsidR="0008004D">
        <w:t>In this instance</w:t>
      </w:r>
      <w:r w:rsidRPr="00F70734">
        <w:t>, the facility that discharged the patient must bill the discharge status code reflecting same day admission to the subsequent facility.</w:t>
      </w:r>
      <w:r w:rsidR="009030A0" w:rsidRPr="00F70734">
        <w:t xml:space="preserve"> </w:t>
      </w:r>
      <w:r w:rsidRPr="00F70734">
        <w:t>The patient discharge status code must reflect the most appropriate readmitting facility type.</w:t>
      </w:r>
      <w:r w:rsidR="009030A0" w:rsidRPr="00F70734">
        <w:t xml:space="preserve"> </w:t>
      </w:r>
    </w:p>
    <w:p w14:paraId="496E1FAA" w14:textId="77777777" w:rsidR="00E777B5" w:rsidRPr="00E777B5" w:rsidRDefault="00E777B5" w:rsidP="00E777B5">
      <w:pPr>
        <w:pStyle w:val="webheader3"/>
      </w:pPr>
      <w:r w:rsidRPr="00E777B5">
        <w:t>Examples</w:t>
      </w:r>
    </w:p>
    <w:p w14:paraId="496E1FAB" w14:textId="77777777" w:rsidR="00F74BDE" w:rsidRPr="00E777B5" w:rsidRDefault="00F74BDE" w:rsidP="00E777B5">
      <w:pPr>
        <w:pStyle w:val="webnormal"/>
        <w:rPr>
          <w:rStyle w:val="webbold"/>
        </w:rPr>
      </w:pPr>
      <w:r w:rsidRPr="00E777B5">
        <w:rPr>
          <w:rStyle w:val="webbold"/>
        </w:rPr>
        <w:t>Scenario 1</w:t>
      </w:r>
    </w:p>
    <w:p w14:paraId="496E1FAC" w14:textId="18B253E8" w:rsidR="00F74BDE" w:rsidRPr="00F70734" w:rsidRDefault="00F74BDE" w:rsidP="00F70734">
      <w:pPr>
        <w:pStyle w:val="webbullet1"/>
      </w:pPr>
      <w:r w:rsidRPr="00F70734">
        <w:t xml:space="preserve">Patient is discharged from </w:t>
      </w:r>
      <w:r w:rsidR="00D17D46">
        <w:t>h</w:t>
      </w:r>
      <w:r w:rsidRPr="00F70734">
        <w:t>ospital X to home</w:t>
      </w:r>
      <w:r w:rsidR="00D17D46">
        <w:t>.</w:t>
      </w:r>
      <w:r w:rsidRPr="00F70734">
        <w:t xml:space="preserve"> </w:t>
      </w:r>
    </w:p>
    <w:p w14:paraId="496E1FAD" w14:textId="0C499731" w:rsidR="00F74BDE" w:rsidRPr="00F70734" w:rsidRDefault="00F74BDE" w:rsidP="00F70734">
      <w:pPr>
        <w:pStyle w:val="webbullet1"/>
      </w:pPr>
      <w:r w:rsidRPr="00F70734">
        <w:t xml:space="preserve">Patient is subsequently readmitted the same day to </w:t>
      </w:r>
      <w:r w:rsidR="00D17D46">
        <w:t>h</w:t>
      </w:r>
      <w:r w:rsidRPr="00F70734">
        <w:t>ospital Y</w:t>
      </w:r>
      <w:r w:rsidR="00D17D46">
        <w:t>.</w:t>
      </w:r>
      <w:r w:rsidRPr="00F70734">
        <w:t xml:space="preserve"> </w:t>
      </w:r>
    </w:p>
    <w:p w14:paraId="496E1FAE" w14:textId="7E39F735" w:rsidR="00F74BDE" w:rsidRPr="00F70734" w:rsidRDefault="00F74BDE" w:rsidP="00F70734">
      <w:pPr>
        <w:pStyle w:val="webbullet1"/>
      </w:pPr>
      <w:r w:rsidRPr="00F70734">
        <w:t>Hospital X billed with patient status code 01 reflecting a discharge to home</w:t>
      </w:r>
      <w:r w:rsidR="00D17D46">
        <w:t>.</w:t>
      </w:r>
      <w:r w:rsidRPr="00F70734">
        <w:t xml:space="preserve"> </w:t>
      </w:r>
    </w:p>
    <w:p w14:paraId="496E1FAF" w14:textId="10CDA63E" w:rsidR="00F74BDE" w:rsidRPr="00F70734" w:rsidRDefault="00F74BDE" w:rsidP="00F70734">
      <w:pPr>
        <w:pStyle w:val="webbullet1"/>
      </w:pPr>
      <w:r w:rsidRPr="00F70734">
        <w:t>Hospital Y is unable to get their claim processed</w:t>
      </w:r>
      <w:r w:rsidR="00D17D46">
        <w:t>.</w:t>
      </w:r>
      <w:r w:rsidRPr="00F70734">
        <w:t xml:space="preserve"> </w:t>
      </w:r>
    </w:p>
    <w:p w14:paraId="496E1FB0" w14:textId="3C6F40E9" w:rsidR="00F74BDE" w:rsidRPr="00F70734" w:rsidRDefault="00F74BDE" w:rsidP="00F70734">
      <w:pPr>
        <w:pStyle w:val="webbullet1"/>
      </w:pPr>
      <w:r w:rsidRPr="00F70734">
        <w:t xml:space="preserve">Hospital X must submit a claim adjustment to reflect a discharge to </w:t>
      </w:r>
      <w:r w:rsidR="00D17D46">
        <w:t>h</w:t>
      </w:r>
      <w:r w:rsidRPr="00F70734">
        <w:t>ospital Y (patient status code 02)</w:t>
      </w:r>
      <w:r w:rsidR="00D17D46">
        <w:t>.</w:t>
      </w:r>
      <w:r w:rsidRPr="00F70734">
        <w:t xml:space="preserve"> </w:t>
      </w:r>
    </w:p>
    <w:p w14:paraId="496E1FB1" w14:textId="131A00D1" w:rsidR="00F74BDE" w:rsidRPr="00F70734" w:rsidRDefault="00F74BDE" w:rsidP="00F70734">
      <w:pPr>
        <w:pStyle w:val="webbullet1"/>
      </w:pPr>
      <w:r w:rsidRPr="00F70734">
        <w:t xml:space="preserve">Hospital Y can resubmit their claim once </w:t>
      </w:r>
      <w:r w:rsidR="00D17D46">
        <w:t>h</w:t>
      </w:r>
      <w:r w:rsidRPr="00F70734">
        <w:t>ospital X’s claim finalizes</w:t>
      </w:r>
      <w:r w:rsidR="00D17D46">
        <w:t>.</w:t>
      </w:r>
      <w:r w:rsidRPr="00F70734">
        <w:t xml:space="preserve"> </w:t>
      </w:r>
    </w:p>
    <w:p w14:paraId="496E1FB2" w14:textId="77777777" w:rsidR="00F74BDE" w:rsidRPr="00E777B5" w:rsidRDefault="00F74BDE" w:rsidP="00E777B5">
      <w:pPr>
        <w:pStyle w:val="webnormal"/>
        <w:rPr>
          <w:rStyle w:val="webbold"/>
        </w:rPr>
      </w:pPr>
      <w:r w:rsidRPr="00E777B5">
        <w:rPr>
          <w:rStyle w:val="webbold"/>
        </w:rPr>
        <w:t>Scenario 2</w:t>
      </w:r>
    </w:p>
    <w:p w14:paraId="496E1FB3" w14:textId="679E010E" w:rsidR="00F74BDE" w:rsidRPr="00F70734" w:rsidRDefault="00F74BDE" w:rsidP="00F70734">
      <w:pPr>
        <w:pStyle w:val="webbullet1"/>
      </w:pPr>
      <w:r w:rsidRPr="00F70734">
        <w:t xml:space="preserve">Patient is discharged against medical advice from </w:t>
      </w:r>
      <w:r w:rsidR="00D17D46">
        <w:t>h</w:t>
      </w:r>
      <w:r w:rsidRPr="00F70734">
        <w:t>ospital X</w:t>
      </w:r>
      <w:r w:rsidR="00D17D46">
        <w:t>.</w:t>
      </w:r>
      <w:r w:rsidRPr="00F70734">
        <w:t xml:space="preserve"> </w:t>
      </w:r>
    </w:p>
    <w:p w14:paraId="496E1FB4" w14:textId="339B5997" w:rsidR="00F74BDE" w:rsidRPr="00F70734" w:rsidRDefault="00F74BDE" w:rsidP="00F70734">
      <w:pPr>
        <w:pStyle w:val="webbullet1"/>
      </w:pPr>
      <w:r w:rsidRPr="00F70734">
        <w:t xml:space="preserve">Patient is subsequently readmitted the same day to </w:t>
      </w:r>
      <w:r w:rsidR="00D17D46">
        <w:t>h</w:t>
      </w:r>
      <w:r w:rsidRPr="00F70734">
        <w:t>ospital Y</w:t>
      </w:r>
      <w:r w:rsidR="00D17D46">
        <w:t>.</w:t>
      </w:r>
      <w:r w:rsidRPr="00F70734">
        <w:t xml:space="preserve"> </w:t>
      </w:r>
    </w:p>
    <w:p w14:paraId="496E1FB5" w14:textId="69C8D816" w:rsidR="00F74BDE" w:rsidRPr="00F70734" w:rsidRDefault="00F74BDE" w:rsidP="00F70734">
      <w:pPr>
        <w:pStyle w:val="webbullet1"/>
      </w:pPr>
      <w:r w:rsidRPr="00F70734">
        <w:t>Hospital X billed with patient status code 07 reflecting a discharge against medical advice</w:t>
      </w:r>
      <w:r w:rsidR="00D17D46">
        <w:t>.</w:t>
      </w:r>
      <w:r w:rsidRPr="00F70734">
        <w:t xml:space="preserve"> </w:t>
      </w:r>
    </w:p>
    <w:p w14:paraId="496E1FB6" w14:textId="5916A2DA" w:rsidR="00F74BDE" w:rsidRPr="00F70734" w:rsidRDefault="00F74BDE" w:rsidP="00F70734">
      <w:pPr>
        <w:pStyle w:val="webbullet1"/>
      </w:pPr>
      <w:r w:rsidRPr="00F70734">
        <w:t>Hospital Y is unable to get their claim processed</w:t>
      </w:r>
      <w:r w:rsidR="00D17D46">
        <w:t>.</w:t>
      </w:r>
      <w:r w:rsidRPr="00F70734">
        <w:t xml:space="preserve"> </w:t>
      </w:r>
    </w:p>
    <w:p w14:paraId="496E1FB7" w14:textId="54725D63" w:rsidR="00F74BDE" w:rsidRPr="00F70734" w:rsidRDefault="00F74BDE" w:rsidP="00F70734">
      <w:pPr>
        <w:pStyle w:val="webbullet1"/>
      </w:pPr>
      <w:r w:rsidRPr="00F70734">
        <w:t xml:space="preserve">Hospital X must submit a claim adjustment to reflect a discharge to </w:t>
      </w:r>
      <w:r w:rsidR="00D17D46">
        <w:t>h</w:t>
      </w:r>
      <w:r w:rsidRPr="00F70734">
        <w:t>ospital Y (patient status code 02)</w:t>
      </w:r>
      <w:r w:rsidR="00D17D46">
        <w:t>.</w:t>
      </w:r>
      <w:r w:rsidRPr="00F70734">
        <w:t xml:space="preserve"> </w:t>
      </w:r>
    </w:p>
    <w:p w14:paraId="496E1FB8" w14:textId="427570C9" w:rsidR="00F74BDE" w:rsidRDefault="00F74BDE" w:rsidP="00F70734">
      <w:pPr>
        <w:pStyle w:val="webbullet1"/>
      </w:pPr>
      <w:r w:rsidRPr="00F70734">
        <w:t xml:space="preserve">Hospital Y can resubmit their claim once </w:t>
      </w:r>
      <w:r w:rsidR="00D17D46">
        <w:t>h</w:t>
      </w:r>
      <w:r w:rsidRPr="00F70734">
        <w:t>ospital X’s claim finalizes</w:t>
      </w:r>
      <w:r w:rsidR="00D17D46">
        <w:t>.</w:t>
      </w:r>
      <w:r w:rsidRPr="00F70734">
        <w:t xml:space="preserve"> </w:t>
      </w:r>
    </w:p>
    <w:p w14:paraId="496E1FB9" w14:textId="0300D4F9" w:rsidR="00F74BDE" w:rsidRPr="0087773E" w:rsidRDefault="008819AB" w:rsidP="0087773E">
      <w:pPr>
        <w:pStyle w:val="webheader2"/>
      </w:pPr>
      <w:r>
        <w:t>Reference</w:t>
      </w:r>
      <w:r w:rsidR="005761DB">
        <w:t>s</w:t>
      </w:r>
    </w:p>
    <w:p w14:paraId="528B1A93" w14:textId="534FBBFB" w:rsidR="00A652BB" w:rsidRDefault="00A652BB" w:rsidP="00DF0BBF">
      <w:pPr>
        <w:pStyle w:val="webbullet1"/>
      </w:pPr>
      <w:r>
        <w:t xml:space="preserve">CMS </w:t>
      </w:r>
      <w:r w:rsidRPr="005761DB">
        <w:t xml:space="preserve">Change Request, </w:t>
      </w:r>
      <w:hyperlink r:id="rId9" w:history="1">
        <w:r w:rsidRPr="005761DB">
          <w:rPr>
            <w:rStyle w:val="Hyperlink"/>
          </w:rPr>
          <w:t>CR10602 - Update to the Hospital Transfer Policy for Early Discharges to Hospice Care</w:t>
        </w:r>
      </w:hyperlink>
    </w:p>
    <w:p w14:paraId="3D875976" w14:textId="77777777" w:rsidR="00A652BB" w:rsidRDefault="00A652BB" w:rsidP="00DF0BBF">
      <w:pPr>
        <w:pStyle w:val="webbullet1"/>
        <w:rPr>
          <w:rStyle w:val="Hyperlink"/>
        </w:rPr>
      </w:pPr>
      <w:hyperlink r:id="rId10" w:tgtFrame="_blank" w:history="1">
        <w:r w:rsidRPr="006C29FD">
          <w:rPr>
            <w:rStyle w:val="Hyperlink"/>
          </w:rPr>
          <w:t>CMS IOM</w:t>
        </w:r>
        <w:r>
          <w:rPr>
            <w:rStyle w:val="Hyperlink"/>
          </w:rPr>
          <w:t xml:space="preserve"> Publication 100-04,</w:t>
        </w:r>
        <w:r w:rsidRPr="006C29FD">
          <w:rPr>
            <w:rStyle w:val="Hyperlink"/>
          </w:rPr>
          <w:t xml:space="preserve"> Claims Processing Manual, Chapter 3, Section 40.2.4A</w:t>
        </w:r>
      </w:hyperlink>
    </w:p>
    <w:p w14:paraId="0C7FD877" w14:textId="4502073B" w:rsidR="00A652BB" w:rsidRPr="00CC76B4" w:rsidRDefault="00A652BB" w:rsidP="00DF0BBF">
      <w:pPr>
        <w:pStyle w:val="webbullet1"/>
        <w:rPr>
          <w:rStyle w:val="Hyperlink"/>
          <w:color w:val="auto"/>
        </w:rPr>
      </w:pPr>
      <w:r>
        <w:t xml:space="preserve">MLN </w:t>
      </w:r>
      <w:r w:rsidRPr="002F7149">
        <w:t>Matters® article</w:t>
      </w:r>
      <w:r>
        <w:t>,</w:t>
      </w:r>
      <w:r w:rsidRPr="002F7149">
        <w:t xml:space="preserve"> </w:t>
      </w:r>
      <w:r w:rsidRPr="008C0784">
        <w:t>MM6385-New Patient Discharge Status Code 21 to Define Discharges or Transfers to Court/Law Enforcement</w:t>
      </w:r>
    </w:p>
    <w:p w14:paraId="1FA0037B" w14:textId="1C3966D9" w:rsidR="00A652BB" w:rsidRPr="006C29FD" w:rsidRDefault="00A652BB" w:rsidP="00CC76B4">
      <w:pPr>
        <w:pStyle w:val="webbullet1"/>
      </w:pPr>
      <w:r w:rsidRPr="008C0784">
        <w:lastRenderedPageBreak/>
        <w:t>SE1411-Clarification of Patient Discharge Status Codes and Hospital Transfer Policies</w:t>
      </w:r>
    </w:p>
    <w:sectPr w:rsidR="00A652BB" w:rsidRPr="006C29FD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B35A8"/>
    <w:multiLevelType w:val="multilevel"/>
    <w:tmpl w:val="65C8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25827"/>
    <w:multiLevelType w:val="multilevel"/>
    <w:tmpl w:val="20CC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048300">
    <w:abstractNumId w:val="11"/>
  </w:num>
  <w:num w:numId="2" w16cid:durableId="472530130">
    <w:abstractNumId w:val="14"/>
  </w:num>
  <w:num w:numId="3" w16cid:durableId="1411730249">
    <w:abstractNumId w:val="10"/>
  </w:num>
  <w:num w:numId="4" w16cid:durableId="90467229">
    <w:abstractNumId w:val="18"/>
  </w:num>
  <w:num w:numId="5" w16cid:durableId="2037076742">
    <w:abstractNumId w:val="13"/>
  </w:num>
  <w:num w:numId="6" w16cid:durableId="1503936958">
    <w:abstractNumId w:val="15"/>
  </w:num>
  <w:num w:numId="7" w16cid:durableId="24410072">
    <w:abstractNumId w:val="13"/>
  </w:num>
  <w:num w:numId="8" w16cid:durableId="1574392989">
    <w:abstractNumId w:val="18"/>
  </w:num>
  <w:num w:numId="9" w16cid:durableId="139854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80328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691845">
    <w:abstractNumId w:val="11"/>
  </w:num>
  <w:num w:numId="12" w16cid:durableId="14241037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8564519">
    <w:abstractNumId w:val="9"/>
  </w:num>
  <w:num w:numId="14" w16cid:durableId="21365271">
    <w:abstractNumId w:val="7"/>
  </w:num>
  <w:num w:numId="15" w16cid:durableId="572812995">
    <w:abstractNumId w:val="6"/>
  </w:num>
  <w:num w:numId="16" w16cid:durableId="1559702728">
    <w:abstractNumId w:val="5"/>
  </w:num>
  <w:num w:numId="17" w16cid:durableId="177743560">
    <w:abstractNumId w:val="4"/>
  </w:num>
  <w:num w:numId="18" w16cid:durableId="2115440604">
    <w:abstractNumId w:val="8"/>
  </w:num>
  <w:num w:numId="19" w16cid:durableId="1759978190">
    <w:abstractNumId w:val="3"/>
  </w:num>
  <w:num w:numId="20" w16cid:durableId="309403836">
    <w:abstractNumId w:val="2"/>
  </w:num>
  <w:num w:numId="21" w16cid:durableId="1160468646">
    <w:abstractNumId w:val="1"/>
  </w:num>
  <w:num w:numId="22" w16cid:durableId="547961227">
    <w:abstractNumId w:val="0"/>
  </w:num>
  <w:num w:numId="23" w16cid:durableId="654601818">
    <w:abstractNumId w:val="17"/>
  </w:num>
  <w:num w:numId="24" w16cid:durableId="752355011">
    <w:abstractNumId w:val="12"/>
  </w:num>
  <w:num w:numId="25" w16cid:durableId="180558542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DE"/>
    <w:rsid w:val="0008004D"/>
    <w:rsid w:val="000C1D4A"/>
    <w:rsid w:val="00130DF9"/>
    <w:rsid w:val="00145DCD"/>
    <w:rsid w:val="00157BBA"/>
    <w:rsid w:val="001A0AB9"/>
    <w:rsid w:val="001C4E73"/>
    <w:rsid w:val="00202A27"/>
    <w:rsid w:val="00246AE2"/>
    <w:rsid w:val="002510B4"/>
    <w:rsid w:val="00267557"/>
    <w:rsid w:val="00272E35"/>
    <w:rsid w:val="0027593D"/>
    <w:rsid w:val="002F7149"/>
    <w:rsid w:val="00391469"/>
    <w:rsid w:val="003D34D8"/>
    <w:rsid w:val="0041345D"/>
    <w:rsid w:val="004162AE"/>
    <w:rsid w:val="0047021A"/>
    <w:rsid w:val="004714B0"/>
    <w:rsid w:val="0049375B"/>
    <w:rsid w:val="004F2293"/>
    <w:rsid w:val="0053503E"/>
    <w:rsid w:val="005761DB"/>
    <w:rsid w:val="005B5664"/>
    <w:rsid w:val="005C5019"/>
    <w:rsid w:val="005F192D"/>
    <w:rsid w:val="00632C35"/>
    <w:rsid w:val="00647D3E"/>
    <w:rsid w:val="00690182"/>
    <w:rsid w:val="00691F2B"/>
    <w:rsid w:val="006C29FD"/>
    <w:rsid w:val="006E3869"/>
    <w:rsid w:val="00715437"/>
    <w:rsid w:val="0073729C"/>
    <w:rsid w:val="007925FC"/>
    <w:rsid w:val="007B479D"/>
    <w:rsid w:val="007D24BF"/>
    <w:rsid w:val="007E0C3B"/>
    <w:rsid w:val="00803F9D"/>
    <w:rsid w:val="008123FC"/>
    <w:rsid w:val="00861C2B"/>
    <w:rsid w:val="0087773E"/>
    <w:rsid w:val="008819AB"/>
    <w:rsid w:val="0088323E"/>
    <w:rsid w:val="008A0E01"/>
    <w:rsid w:val="008C0784"/>
    <w:rsid w:val="008F343B"/>
    <w:rsid w:val="009030A0"/>
    <w:rsid w:val="009312AD"/>
    <w:rsid w:val="009811F7"/>
    <w:rsid w:val="00986FB4"/>
    <w:rsid w:val="00995423"/>
    <w:rsid w:val="00996F2D"/>
    <w:rsid w:val="00A25A42"/>
    <w:rsid w:val="00A652BB"/>
    <w:rsid w:val="00AC61C3"/>
    <w:rsid w:val="00B2746C"/>
    <w:rsid w:val="00B61D0B"/>
    <w:rsid w:val="00B94824"/>
    <w:rsid w:val="00BA03DC"/>
    <w:rsid w:val="00BE35C1"/>
    <w:rsid w:val="00BF4C80"/>
    <w:rsid w:val="00C16A79"/>
    <w:rsid w:val="00C261AE"/>
    <w:rsid w:val="00C40C76"/>
    <w:rsid w:val="00C719C3"/>
    <w:rsid w:val="00CC76B4"/>
    <w:rsid w:val="00D05EB8"/>
    <w:rsid w:val="00D11DDE"/>
    <w:rsid w:val="00D17D46"/>
    <w:rsid w:val="00D7772A"/>
    <w:rsid w:val="00DB26F9"/>
    <w:rsid w:val="00DC4629"/>
    <w:rsid w:val="00DC7C62"/>
    <w:rsid w:val="00DE4752"/>
    <w:rsid w:val="00DF0BBF"/>
    <w:rsid w:val="00E60C0C"/>
    <w:rsid w:val="00E635D6"/>
    <w:rsid w:val="00E777B5"/>
    <w:rsid w:val="00EA68CB"/>
    <w:rsid w:val="00F01D04"/>
    <w:rsid w:val="00F23054"/>
    <w:rsid w:val="00F33BCB"/>
    <w:rsid w:val="00F70734"/>
    <w:rsid w:val="00F74BDE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E1F62"/>
  <w15:docId w15:val="{010F9DB6-FC26-47CF-B180-3E5EA124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2A2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74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uiPriority w:val="99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customStyle="1" w:styleId="Heading2Char">
    <w:name w:val="Heading 2 Char"/>
    <w:basedOn w:val="DefaultParagraphFont"/>
    <w:link w:val="Heading2"/>
    <w:uiPriority w:val="9"/>
    <w:semiHidden/>
    <w:rsid w:val="00F74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locked/>
    <w:rsid w:val="00F74BDE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F74BD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81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81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81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9A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417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293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9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26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42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8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463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9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40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14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536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62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82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86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45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780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134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bc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ms.gov/Regulations-and-Guidance/Guidance/Manuals/downloads/clm104c03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ms.gov/Regulations-and-Guidance/Guidance/Transmittals/2018Downloads/R2094OT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9iw\Desktop\Web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1EA3E0-637F-4711-A96A-1D32A6304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7161A-4000-4E38-8AF1-88CD63D4A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E2B20B-D443-4EAB-8064-44D93F11C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WebDocument.dotx</Template>
  <TotalTime>2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John Ricords</dc:creator>
  <cp:lastModifiedBy>Yeckley, Zachary</cp:lastModifiedBy>
  <cp:revision>2</cp:revision>
  <cp:lastPrinted>2013-08-22T18:47:00Z</cp:lastPrinted>
  <dcterms:created xsi:type="dcterms:W3CDTF">2026-01-14T16:44:00Z</dcterms:created>
  <dcterms:modified xsi:type="dcterms:W3CDTF">2026-01-14T16:44:00Z</dcterms:modified>
</cp:coreProperties>
</file>