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E8E17" w14:textId="5D8E1952" w:rsidR="00156209" w:rsidRPr="001446BD" w:rsidRDefault="00524F00" w:rsidP="001446BD">
      <w:pPr>
        <w:pStyle w:val="webheader"/>
      </w:pPr>
      <w:r w:rsidRPr="001446BD">
        <w:t xml:space="preserve">Coding </w:t>
      </w:r>
      <w:r w:rsidR="00D452CC">
        <w:t>g</w:t>
      </w:r>
      <w:r w:rsidRPr="001446BD">
        <w:t xml:space="preserve">uidelines: Part A </w:t>
      </w:r>
      <w:r w:rsidR="00D452CC">
        <w:t>b</w:t>
      </w:r>
      <w:r w:rsidRPr="001446BD">
        <w:t xml:space="preserve">illing for </w:t>
      </w:r>
      <w:r w:rsidR="00D452CC">
        <w:t>b</w:t>
      </w:r>
      <w:r w:rsidRPr="001446BD">
        <w:t xml:space="preserve">lood and </w:t>
      </w:r>
      <w:r w:rsidR="00D452CC">
        <w:t>b</w:t>
      </w:r>
      <w:r w:rsidRPr="001446BD">
        <w:t xml:space="preserve">lood </w:t>
      </w:r>
      <w:r w:rsidR="00D452CC">
        <w:t>p</w:t>
      </w:r>
      <w:r w:rsidRPr="001446BD">
        <w:t>roducts</w:t>
      </w:r>
    </w:p>
    <w:p w14:paraId="636DED5B" w14:textId="447ED06D" w:rsidR="00524F00" w:rsidRPr="00524F00" w:rsidRDefault="00524F00" w:rsidP="001A5D47">
      <w:pPr>
        <w:pStyle w:val="webnormal"/>
      </w:pPr>
      <w:r w:rsidRPr="00524F00">
        <w:t xml:space="preserve">The following information explains how to bill for blood and blood products paid under the </w:t>
      </w:r>
      <w:r w:rsidR="00D452CC">
        <w:t>o</w:t>
      </w:r>
      <w:r w:rsidRPr="001A5D47">
        <w:t xml:space="preserve">utpatient </w:t>
      </w:r>
      <w:r w:rsidR="00D452CC">
        <w:t>p</w:t>
      </w:r>
      <w:r w:rsidRPr="001A5D47">
        <w:t xml:space="preserve">rospective </w:t>
      </w:r>
      <w:r w:rsidR="00D452CC">
        <w:t>p</w:t>
      </w:r>
      <w:r w:rsidRPr="001A5D47">
        <w:t xml:space="preserve">ayment </w:t>
      </w:r>
      <w:r w:rsidR="00D452CC">
        <w:t>s</w:t>
      </w:r>
      <w:r w:rsidRPr="001A5D47">
        <w:t>ystem</w:t>
      </w:r>
      <w:r w:rsidRPr="00524F00">
        <w:t>.</w:t>
      </w:r>
    </w:p>
    <w:p w14:paraId="0B37B692" w14:textId="77777777" w:rsidR="00524F00" w:rsidRPr="001446BD" w:rsidRDefault="00524F00" w:rsidP="001446BD">
      <w:pPr>
        <w:pStyle w:val="webheader2"/>
      </w:pPr>
      <w:r w:rsidRPr="001446BD">
        <w:t>Purchased Blood and Blood Products</w:t>
      </w:r>
    </w:p>
    <w:p w14:paraId="7363B1D6" w14:textId="77777777" w:rsidR="00524F00" w:rsidRPr="00524F00" w:rsidRDefault="00524F00" w:rsidP="00524F00">
      <w:pPr>
        <w:pStyle w:val="webnormal"/>
      </w:pPr>
      <w:r w:rsidRPr="00524F00">
        <w:t>Hospitals that purchase blood from a blood bank or collect blood in their own blood bank and assess a charge should bill as follows:</w:t>
      </w:r>
    </w:p>
    <w:p w14:paraId="52AA64CA" w14:textId="77777777" w:rsidR="00524F00" w:rsidRPr="00524F00" w:rsidRDefault="00524F00" w:rsidP="00E96FF9">
      <w:pPr>
        <w:pStyle w:val="webbullet1"/>
      </w:pPr>
      <w:r w:rsidRPr="00524F00">
        <w:t xml:space="preserve">Value code 37 and the number of pints the patient received </w:t>
      </w:r>
      <w:r w:rsidRPr="001A5D47">
        <w:t>(only when billing revenue code 0381 (packed red cells) or 0382 (whole blood))</w:t>
      </w:r>
      <w:r w:rsidRPr="00524F00">
        <w:t xml:space="preserve">. </w:t>
      </w:r>
    </w:p>
    <w:p w14:paraId="6DE97192" w14:textId="618DD4F4" w:rsidR="00524F00" w:rsidRPr="00524F00" w:rsidRDefault="00524F00" w:rsidP="00E96FF9">
      <w:pPr>
        <w:pStyle w:val="webbullet1"/>
      </w:pPr>
      <w:r w:rsidRPr="00524F00">
        <w:t xml:space="preserve">Revenue code 038X </w:t>
      </w:r>
      <w:r w:rsidRPr="001A5D47">
        <w:t>(excluding revenue code 0380)</w:t>
      </w:r>
      <w:r w:rsidRPr="00524F00">
        <w:t xml:space="preserve"> with the appropriate blood product </w:t>
      </w:r>
      <w:r w:rsidR="00E96FF9">
        <w:t>HCPCS</w:t>
      </w:r>
      <w:r w:rsidRPr="001A5D47">
        <w:t xml:space="preserve"> </w:t>
      </w:r>
      <w:r w:rsidRPr="00524F00">
        <w:t xml:space="preserve">code </w:t>
      </w:r>
      <w:r w:rsidRPr="001A5D47">
        <w:t>(“P” code),</w:t>
      </w:r>
      <w:r w:rsidRPr="00524F00">
        <w:t xml:space="preserve"> BL modifier, number of units transfused and date of service. </w:t>
      </w:r>
    </w:p>
    <w:p w14:paraId="2FB6E63A" w14:textId="77777777" w:rsidR="00524F00" w:rsidRPr="00524F00" w:rsidRDefault="00524F00" w:rsidP="00E96FF9">
      <w:pPr>
        <w:pStyle w:val="webbullet1"/>
      </w:pPr>
      <w:r w:rsidRPr="00524F00">
        <w:t xml:space="preserve">Revenue code 0390, 0392 or 0399 </w:t>
      </w:r>
      <w:r w:rsidRPr="001A5D47">
        <w:t>(processing and storage)</w:t>
      </w:r>
      <w:r w:rsidRPr="00524F00">
        <w:t xml:space="preserve"> with the same “P” code, BL modifier, number of units and date of service as reported for revenue code 038X. </w:t>
      </w:r>
    </w:p>
    <w:p w14:paraId="16AB0009" w14:textId="77777777" w:rsidR="000032B3" w:rsidRDefault="00524F00" w:rsidP="00E96FF9">
      <w:pPr>
        <w:pStyle w:val="webbullet1"/>
      </w:pPr>
      <w:r w:rsidRPr="00524F00">
        <w:t xml:space="preserve">Revenue code 0391 </w:t>
      </w:r>
      <w:r w:rsidRPr="001A5D47">
        <w:t>(transfusion)</w:t>
      </w:r>
      <w:r w:rsidRPr="00524F00">
        <w:t xml:space="preserve"> with the appropriate CPT code</w:t>
      </w:r>
      <w:r w:rsidR="00E96FF9">
        <w:t>,</w:t>
      </w:r>
      <w:r w:rsidRPr="00524F00">
        <w:t xml:space="preserve"> one unit and date of service. </w:t>
      </w:r>
    </w:p>
    <w:p w14:paraId="392D1F41" w14:textId="77777777" w:rsidR="00524F00" w:rsidRDefault="00524F00" w:rsidP="000032B3">
      <w:pPr>
        <w:pStyle w:val="webheader3"/>
        <w:rPr>
          <w:rStyle w:val="webbold"/>
        </w:rPr>
      </w:pPr>
      <w:r w:rsidRPr="000032B3">
        <w:rPr>
          <w:rStyle w:val="webbold"/>
          <w:rFonts w:ascii="Verdana" w:hAnsi="Verdana"/>
          <w:b/>
        </w:rPr>
        <w:t>Example</w:t>
      </w:r>
    </w:p>
    <w:tbl>
      <w:tblPr>
        <w:tblW w:w="0" w:type="auto"/>
        <w:tblInd w:w="108" w:type="dxa"/>
        <w:tblLook w:val="0000" w:firstRow="0" w:lastRow="0" w:firstColumn="0" w:lastColumn="0" w:noHBand="0" w:noVBand="0"/>
      </w:tblPr>
      <w:tblGrid>
        <w:gridCol w:w="1440"/>
        <w:gridCol w:w="1530"/>
        <w:gridCol w:w="810"/>
        <w:gridCol w:w="1620"/>
        <w:gridCol w:w="1890"/>
      </w:tblGrid>
      <w:tr w:rsidR="001B63D4" w:rsidRPr="001B63D4" w14:paraId="6FD4DD0C" w14:textId="77777777" w:rsidTr="001B63D4">
        <w:tc>
          <w:tcPr>
            <w:tcW w:w="1440" w:type="dxa"/>
          </w:tcPr>
          <w:p w14:paraId="1314CD1E" w14:textId="257CD291" w:rsidR="001B63D4" w:rsidRPr="001B63D4" w:rsidRDefault="001B63D4" w:rsidP="001B63D4">
            <w:pPr>
              <w:pStyle w:val="webnormal"/>
            </w:pPr>
            <w:r w:rsidRPr="001B63D4">
              <w:t xml:space="preserve">Revenue </w:t>
            </w:r>
            <w:r w:rsidR="00D452CC">
              <w:t>c</w:t>
            </w:r>
            <w:r w:rsidRPr="001B63D4">
              <w:t>ode</w:t>
            </w:r>
          </w:p>
        </w:tc>
        <w:tc>
          <w:tcPr>
            <w:tcW w:w="1530" w:type="dxa"/>
          </w:tcPr>
          <w:p w14:paraId="200DBCD6" w14:textId="77777777" w:rsidR="001B63D4" w:rsidRPr="001B63D4" w:rsidRDefault="001B63D4" w:rsidP="001B63D4">
            <w:pPr>
              <w:pStyle w:val="webnormal"/>
            </w:pPr>
            <w:r w:rsidRPr="001B63D4">
              <w:t>HCPCS / Modifier</w:t>
            </w:r>
          </w:p>
        </w:tc>
        <w:tc>
          <w:tcPr>
            <w:tcW w:w="810" w:type="dxa"/>
          </w:tcPr>
          <w:p w14:paraId="4A12156A" w14:textId="77777777" w:rsidR="001B63D4" w:rsidRPr="001B63D4" w:rsidRDefault="001B63D4" w:rsidP="001B63D4">
            <w:pPr>
              <w:pStyle w:val="webnormal"/>
            </w:pPr>
            <w:r w:rsidRPr="001B63D4">
              <w:t>Units</w:t>
            </w:r>
          </w:p>
        </w:tc>
        <w:tc>
          <w:tcPr>
            <w:tcW w:w="1620" w:type="dxa"/>
          </w:tcPr>
          <w:p w14:paraId="32CC5BC6" w14:textId="642632FC" w:rsidR="001B63D4" w:rsidRPr="001B63D4" w:rsidRDefault="001B63D4" w:rsidP="001B63D4">
            <w:pPr>
              <w:pStyle w:val="webnormal"/>
            </w:pPr>
            <w:r w:rsidRPr="001B63D4">
              <w:t xml:space="preserve">Value </w:t>
            </w:r>
            <w:r w:rsidR="00D452CC">
              <w:t>c</w:t>
            </w:r>
            <w:r w:rsidRPr="001B63D4">
              <w:t>ode / Amt</w:t>
            </w:r>
          </w:p>
        </w:tc>
        <w:tc>
          <w:tcPr>
            <w:tcW w:w="1890" w:type="dxa"/>
          </w:tcPr>
          <w:p w14:paraId="64E993B8" w14:textId="1149045E" w:rsidR="001B63D4" w:rsidRPr="001B63D4" w:rsidRDefault="00D452CC" w:rsidP="001B63D4">
            <w:pPr>
              <w:pStyle w:val="webnormal"/>
            </w:pPr>
            <w:r w:rsidRPr="001B63D4">
              <w:t>Line-item</w:t>
            </w:r>
            <w:r w:rsidR="001B63D4" w:rsidRPr="001B63D4">
              <w:t xml:space="preserve"> </w:t>
            </w:r>
            <w:r>
              <w:t>d</w:t>
            </w:r>
            <w:r w:rsidR="001B63D4" w:rsidRPr="001B63D4">
              <w:t xml:space="preserve">ate of </w:t>
            </w:r>
            <w:r>
              <w:t>s</w:t>
            </w:r>
            <w:r w:rsidR="001B63D4" w:rsidRPr="001B63D4">
              <w:t>ervice</w:t>
            </w:r>
          </w:p>
        </w:tc>
      </w:tr>
      <w:tr w:rsidR="001B63D4" w:rsidRPr="001B63D4" w14:paraId="6DD462F1" w14:textId="77777777" w:rsidTr="001B63D4">
        <w:tc>
          <w:tcPr>
            <w:tcW w:w="1440" w:type="dxa"/>
          </w:tcPr>
          <w:p w14:paraId="54310214" w14:textId="77777777" w:rsidR="001B63D4" w:rsidRPr="001B63D4" w:rsidRDefault="001B63D4" w:rsidP="001B63D4">
            <w:pPr>
              <w:pStyle w:val="webnormal"/>
            </w:pPr>
            <w:r w:rsidRPr="001B63D4">
              <w:t>038X</w:t>
            </w:r>
          </w:p>
        </w:tc>
        <w:tc>
          <w:tcPr>
            <w:tcW w:w="1530" w:type="dxa"/>
          </w:tcPr>
          <w:p w14:paraId="7729A8AE" w14:textId="77777777" w:rsidR="001B63D4" w:rsidRPr="001B63D4" w:rsidRDefault="001B63D4" w:rsidP="001B63D4">
            <w:pPr>
              <w:pStyle w:val="webnormal"/>
            </w:pPr>
            <w:r w:rsidRPr="001B63D4">
              <w:t>PXXXXBL</w:t>
            </w:r>
          </w:p>
        </w:tc>
        <w:tc>
          <w:tcPr>
            <w:tcW w:w="810" w:type="dxa"/>
          </w:tcPr>
          <w:p w14:paraId="14391F3D" w14:textId="77777777" w:rsidR="001B63D4" w:rsidRPr="001B63D4" w:rsidRDefault="001B63D4" w:rsidP="001B63D4">
            <w:pPr>
              <w:pStyle w:val="webnormal"/>
            </w:pPr>
            <w:r w:rsidRPr="001B63D4">
              <w:t>3</w:t>
            </w:r>
          </w:p>
        </w:tc>
        <w:tc>
          <w:tcPr>
            <w:tcW w:w="1620" w:type="dxa"/>
          </w:tcPr>
          <w:p w14:paraId="6E701CBB" w14:textId="77777777" w:rsidR="001B63D4" w:rsidRPr="001B63D4" w:rsidRDefault="001B63D4" w:rsidP="001B63D4">
            <w:pPr>
              <w:pStyle w:val="webnormal"/>
            </w:pPr>
            <w:r w:rsidRPr="001B63D4">
              <w:t>37/3.00</w:t>
            </w:r>
          </w:p>
        </w:tc>
        <w:tc>
          <w:tcPr>
            <w:tcW w:w="1890" w:type="dxa"/>
          </w:tcPr>
          <w:p w14:paraId="5E0B2D44" w14:textId="77777777" w:rsidR="001B63D4" w:rsidRPr="001B63D4" w:rsidRDefault="001B63D4" w:rsidP="001B63D4">
            <w:pPr>
              <w:pStyle w:val="webnormal"/>
            </w:pPr>
            <w:r w:rsidRPr="001B63D4">
              <w:t>100114</w:t>
            </w:r>
          </w:p>
        </w:tc>
      </w:tr>
      <w:tr w:rsidR="001B63D4" w:rsidRPr="001B63D4" w14:paraId="26445E53" w14:textId="77777777" w:rsidTr="001B63D4">
        <w:tc>
          <w:tcPr>
            <w:tcW w:w="1440" w:type="dxa"/>
          </w:tcPr>
          <w:p w14:paraId="07E49E35" w14:textId="77777777" w:rsidR="001B63D4" w:rsidRPr="001B63D4" w:rsidRDefault="001B63D4" w:rsidP="001B63D4">
            <w:pPr>
              <w:pStyle w:val="webnormal"/>
            </w:pPr>
            <w:r w:rsidRPr="001B63D4">
              <w:t>0390, 0392 or 0399</w:t>
            </w:r>
          </w:p>
        </w:tc>
        <w:tc>
          <w:tcPr>
            <w:tcW w:w="1530" w:type="dxa"/>
          </w:tcPr>
          <w:p w14:paraId="68960508" w14:textId="77777777" w:rsidR="001B63D4" w:rsidRPr="001B63D4" w:rsidRDefault="001B63D4" w:rsidP="001B63D4">
            <w:pPr>
              <w:pStyle w:val="webnormal"/>
            </w:pPr>
            <w:r w:rsidRPr="001B63D4">
              <w:t>PXXXXBL</w:t>
            </w:r>
          </w:p>
        </w:tc>
        <w:tc>
          <w:tcPr>
            <w:tcW w:w="810" w:type="dxa"/>
          </w:tcPr>
          <w:p w14:paraId="5E4C036F" w14:textId="77777777" w:rsidR="001B63D4" w:rsidRPr="001B63D4" w:rsidRDefault="001B63D4" w:rsidP="001B63D4">
            <w:pPr>
              <w:pStyle w:val="webnormal"/>
            </w:pPr>
            <w:r w:rsidRPr="001B63D4">
              <w:t>3</w:t>
            </w:r>
          </w:p>
        </w:tc>
        <w:tc>
          <w:tcPr>
            <w:tcW w:w="1620" w:type="dxa"/>
          </w:tcPr>
          <w:p w14:paraId="252C9902" w14:textId="77777777" w:rsidR="001B63D4" w:rsidRPr="001B63D4" w:rsidRDefault="001B63D4" w:rsidP="001B63D4">
            <w:pPr>
              <w:pStyle w:val="webnormal"/>
            </w:pPr>
            <w:r w:rsidRPr="001B63D4">
              <w:t> </w:t>
            </w:r>
          </w:p>
        </w:tc>
        <w:tc>
          <w:tcPr>
            <w:tcW w:w="1890" w:type="dxa"/>
          </w:tcPr>
          <w:p w14:paraId="3AF6B9D8" w14:textId="77777777" w:rsidR="001B63D4" w:rsidRPr="001B63D4" w:rsidRDefault="001B63D4" w:rsidP="001B63D4">
            <w:pPr>
              <w:pStyle w:val="webnormal"/>
            </w:pPr>
            <w:r w:rsidRPr="001B63D4">
              <w:t>100114</w:t>
            </w:r>
          </w:p>
        </w:tc>
      </w:tr>
      <w:tr w:rsidR="001B63D4" w:rsidRPr="001B63D4" w14:paraId="1726C639" w14:textId="77777777" w:rsidTr="001B63D4">
        <w:tc>
          <w:tcPr>
            <w:tcW w:w="1440" w:type="dxa"/>
          </w:tcPr>
          <w:p w14:paraId="27E35B3D" w14:textId="77777777" w:rsidR="001B63D4" w:rsidRPr="001B63D4" w:rsidRDefault="001B63D4" w:rsidP="001B63D4">
            <w:pPr>
              <w:pStyle w:val="webnormal"/>
            </w:pPr>
            <w:r w:rsidRPr="001B63D4">
              <w:t>0391</w:t>
            </w:r>
          </w:p>
        </w:tc>
        <w:tc>
          <w:tcPr>
            <w:tcW w:w="1530" w:type="dxa"/>
          </w:tcPr>
          <w:p w14:paraId="582FF8C4" w14:textId="77777777" w:rsidR="001B63D4" w:rsidRPr="001B63D4" w:rsidRDefault="001B63D4" w:rsidP="001B63D4">
            <w:pPr>
              <w:pStyle w:val="webnormal"/>
            </w:pPr>
            <w:r w:rsidRPr="001B63D4">
              <w:t>CPT code</w:t>
            </w:r>
          </w:p>
        </w:tc>
        <w:tc>
          <w:tcPr>
            <w:tcW w:w="810" w:type="dxa"/>
          </w:tcPr>
          <w:p w14:paraId="43676D97" w14:textId="77777777" w:rsidR="001B63D4" w:rsidRPr="001B63D4" w:rsidRDefault="001B63D4" w:rsidP="001B63D4">
            <w:pPr>
              <w:pStyle w:val="webnormal"/>
            </w:pPr>
            <w:r w:rsidRPr="001B63D4">
              <w:t>1</w:t>
            </w:r>
          </w:p>
        </w:tc>
        <w:tc>
          <w:tcPr>
            <w:tcW w:w="1620" w:type="dxa"/>
          </w:tcPr>
          <w:p w14:paraId="71E41364" w14:textId="77777777" w:rsidR="001B63D4" w:rsidRPr="001B63D4" w:rsidRDefault="001B63D4" w:rsidP="001B63D4">
            <w:pPr>
              <w:pStyle w:val="webnormal"/>
            </w:pPr>
            <w:r w:rsidRPr="001B63D4">
              <w:t> </w:t>
            </w:r>
          </w:p>
        </w:tc>
        <w:tc>
          <w:tcPr>
            <w:tcW w:w="1890" w:type="dxa"/>
          </w:tcPr>
          <w:p w14:paraId="55C8E5DA" w14:textId="77777777" w:rsidR="001B63D4" w:rsidRPr="001B63D4" w:rsidRDefault="001B63D4" w:rsidP="001B63D4">
            <w:pPr>
              <w:pStyle w:val="webnormal"/>
            </w:pPr>
            <w:r w:rsidRPr="001B63D4">
              <w:t>100114</w:t>
            </w:r>
          </w:p>
        </w:tc>
      </w:tr>
    </w:tbl>
    <w:p w14:paraId="458F2D02" w14:textId="1DD78DEB" w:rsidR="00524F00" w:rsidRPr="001446BD" w:rsidRDefault="00524F00" w:rsidP="001446BD">
      <w:pPr>
        <w:pStyle w:val="webheader2"/>
      </w:pPr>
      <w:r w:rsidRPr="001446BD">
        <w:t>Non-</w:t>
      </w:r>
      <w:r w:rsidR="00D452CC">
        <w:t>p</w:t>
      </w:r>
      <w:r w:rsidRPr="001446BD">
        <w:t xml:space="preserve">urchased </w:t>
      </w:r>
      <w:r w:rsidR="00D452CC">
        <w:t>b</w:t>
      </w:r>
      <w:r w:rsidRPr="001446BD">
        <w:t xml:space="preserve">lood and </w:t>
      </w:r>
      <w:r w:rsidR="00D452CC">
        <w:t>b</w:t>
      </w:r>
      <w:r w:rsidRPr="001446BD">
        <w:t xml:space="preserve">lood </w:t>
      </w:r>
      <w:r w:rsidR="00D452CC">
        <w:t>p</w:t>
      </w:r>
      <w:r w:rsidRPr="001446BD">
        <w:t>roducts</w:t>
      </w:r>
    </w:p>
    <w:p w14:paraId="20BE7753" w14:textId="77777777" w:rsidR="00524F00" w:rsidRPr="00524F00" w:rsidRDefault="00524F00" w:rsidP="001A5D47">
      <w:pPr>
        <w:pStyle w:val="webnormal"/>
      </w:pPr>
      <w:r w:rsidRPr="00524F00">
        <w:t xml:space="preserve">Hospitals that do not purchase blood or blood products from a blood bank </w:t>
      </w:r>
      <w:r w:rsidRPr="001A5D47">
        <w:t>(i.e., donated)</w:t>
      </w:r>
      <w:r w:rsidRPr="00524F00">
        <w:t xml:space="preserve"> or do not assess a charge for blood from their own blood bank</w:t>
      </w:r>
      <w:r w:rsidR="00E96FF9">
        <w:t>,</w:t>
      </w:r>
      <w:r w:rsidRPr="00524F00">
        <w:t xml:space="preserve"> should bill as follows:</w:t>
      </w:r>
    </w:p>
    <w:p w14:paraId="45F47D93" w14:textId="77777777" w:rsidR="00524F00" w:rsidRPr="00524F00" w:rsidRDefault="00524F00" w:rsidP="001A5D47">
      <w:pPr>
        <w:pStyle w:val="webbullet1"/>
      </w:pPr>
      <w:r w:rsidRPr="00524F00">
        <w:t xml:space="preserve">Revenue code 0390, 0392 or 0399 </w:t>
      </w:r>
      <w:r w:rsidRPr="001A5D47">
        <w:t>(processing and storage)</w:t>
      </w:r>
      <w:r w:rsidRPr="00524F00">
        <w:t xml:space="preserve"> with the appropriate blood product HCPCS code </w:t>
      </w:r>
      <w:r w:rsidRPr="001A5D47">
        <w:t>(“P” code)</w:t>
      </w:r>
      <w:r w:rsidRPr="00524F00">
        <w:t xml:space="preserve"> number of units transfused and date of service. </w:t>
      </w:r>
    </w:p>
    <w:p w14:paraId="4F8242BF" w14:textId="77777777" w:rsidR="00524F00" w:rsidRPr="00524F00" w:rsidRDefault="00524F00" w:rsidP="001A5D47">
      <w:pPr>
        <w:pStyle w:val="webbullet1"/>
      </w:pPr>
      <w:r w:rsidRPr="00524F00">
        <w:t xml:space="preserve">Revenue code 0391 </w:t>
      </w:r>
      <w:r w:rsidRPr="001A5D47">
        <w:t>(transfusion)</w:t>
      </w:r>
      <w:r w:rsidRPr="00524F00">
        <w:t xml:space="preserve"> with the appropriate CPT code, one unit and date of service. </w:t>
      </w:r>
    </w:p>
    <w:p w14:paraId="53478B21" w14:textId="77777777" w:rsidR="00524F00" w:rsidRDefault="00524F00" w:rsidP="000032B3">
      <w:pPr>
        <w:pStyle w:val="webheader3"/>
        <w:rPr>
          <w:rStyle w:val="webbold"/>
        </w:rPr>
      </w:pPr>
      <w:r w:rsidRPr="000032B3">
        <w:rPr>
          <w:rStyle w:val="webbold"/>
          <w:rFonts w:ascii="Verdana" w:hAnsi="Verdana"/>
          <w:b/>
        </w:rPr>
        <w:t>Example</w:t>
      </w:r>
    </w:p>
    <w:tbl>
      <w:tblPr>
        <w:tblW w:w="0" w:type="auto"/>
        <w:tblInd w:w="108" w:type="dxa"/>
        <w:tblLook w:val="0000" w:firstRow="0" w:lastRow="0" w:firstColumn="0" w:lastColumn="0" w:noHBand="0" w:noVBand="0"/>
      </w:tblPr>
      <w:tblGrid>
        <w:gridCol w:w="1620"/>
        <w:gridCol w:w="1350"/>
        <w:gridCol w:w="810"/>
        <w:gridCol w:w="1800"/>
      </w:tblGrid>
      <w:tr w:rsidR="001B63D4" w:rsidRPr="001B63D4" w14:paraId="31FC78BA" w14:textId="77777777" w:rsidTr="001B63D4">
        <w:tc>
          <w:tcPr>
            <w:tcW w:w="1620" w:type="dxa"/>
          </w:tcPr>
          <w:p w14:paraId="7AB1407C" w14:textId="619E9457" w:rsidR="001B63D4" w:rsidRPr="001B63D4" w:rsidRDefault="001B63D4" w:rsidP="001B63D4">
            <w:pPr>
              <w:pStyle w:val="webnormal"/>
            </w:pPr>
            <w:r w:rsidRPr="001B63D4">
              <w:t xml:space="preserve">Revenue </w:t>
            </w:r>
            <w:r w:rsidR="00D452CC">
              <w:t>c</w:t>
            </w:r>
            <w:r w:rsidRPr="001B63D4">
              <w:t>ode</w:t>
            </w:r>
          </w:p>
        </w:tc>
        <w:tc>
          <w:tcPr>
            <w:tcW w:w="1350" w:type="dxa"/>
          </w:tcPr>
          <w:p w14:paraId="7D03CA88" w14:textId="77777777" w:rsidR="001B63D4" w:rsidRPr="001B63D4" w:rsidRDefault="001B63D4" w:rsidP="001B63D4">
            <w:pPr>
              <w:pStyle w:val="webnormal"/>
            </w:pPr>
            <w:r w:rsidRPr="001B63D4">
              <w:t>HCPCS / Modifier</w:t>
            </w:r>
          </w:p>
        </w:tc>
        <w:tc>
          <w:tcPr>
            <w:tcW w:w="810" w:type="dxa"/>
          </w:tcPr>
          <w:p w14:paraId="157DBC6B" w14:textId="77777777" w:rsidR="001B63D4" w:rsidRPr="001B63D4" w:rsidRDefault="001B63D4" w:rsidP="001B63D4">
            <w:pPr>
              <w:pStyle w:val="webnormal"/>
            </w:pPr>
            <w:r w:rsidRPr="001B63D4">
              <w:t>Units</w:t>
            </w:r>
          </w:p>
        </w:tc>
        <w:tc>
          <w:tcPr>
            <w:tcW w:w="1800" w:type="dxa"/>
          </w:tcPr>
          <w:p w14:paraId="13B215D6" w14:textId="76B3DF55" w:rsidR="001B63D4" w:rsidRPr="001B63D4" w:rsidRDefault="00D452CC" w:rsidP="001B63D4">
            <w:pPr>
              <w:pStyle w:val="webnormal"/>
            </w:pPr>
            <w:r w:rsidRPr="001B63D4">
              <w:t>Line-</w:t>
            </w:r>
            <w:r>
              <w:t>i</w:t>
            </w:r>
            <w:r w:rsidRPr="001B63D4">
              <w:t>tem</w:t>
            </w:r>
            <w:r w:rsidR="001B63D4" w:rsidRPr="001B63D4">
              <w:t xml:space="preserve"> </w:t>
            </w:r>
            <w:r>
              <w:t>d</w:t>
            </w:r>
            <w:r w:rsidR="001B63D4" w:rsidRPr="001B63D4">
              <w:t xml:space="preserve">ate of </w:t>
            </w:r>
            <w:r>
              <w:t>s</w:t>
            </w:r>
            <w:r w:rsidR="001B63D4" w:rsidRPr="001B63D4">
              <w:t>ervice</w:t>
            </w:r>
          </w:p>
        </w:tc>
      </w:tr>
      <w:tr w:rsidR="001B63D4" w:rsidRPr="001B63D4" w14:paraId="0BD244BE" w14:textId="77777777" w:rsidTr="001B63D4">
        <w:tc>
          <w:tcPr>
            <w:tcW w:w="1620" w:type="dxa"/>
          </w:tcPr>
          <w:p w14:paraId="3DB04413" w14:textId="77777777" w:rsidR="001B63D4" w:rsidRPr="001B63D4" w:rsidRDefault="001B63D4" w:rsidP="001B63D4">
            <w:pPr>
              <w:pStyle w:val="webnormal"/>
            </w:pPr>
            <w:r w:rsidRPr="001B63D4">
              <w:t>0390, 0392 or 0399</w:t>
            </w:r>
          </w:p>
        </w:tc>
        <w:tc>
          <w:tcPr>
            <w:tcW w:w="1350" w:type="dxa"/>
          </w:tcPr>
          <w:p w14:paraId="2E3051D6" w14:textId="77777777" w:rsidR="001B63D4" w:rsidRPr="001B63D4" w:rsidRDefault="001B63D4" w:rsidP="001B63D4">
            <w:pPr>
              <w:pStyle w:val="webnormal"/>
            </w:pPr>
            <w:r w:rsidRPr="001B63D4">
              <w:t>PXXXX</w:t>
            </w:r>
          </w:p>
        </w:tc>
        <w:tc>
          <w:tcPr>
            <w:tcW w:w="810" w:type="dxa"/>
          </w:tcPr>
          <w:p w14:paraId="0EC05CC8" w14:textId="77777777" w:rsidR="001B63D4" w:rsidRPr="001B63D4" w:rsidRDefault="001B63D4" w:rsidP="001B63D4">
            <w:pPr>
              <w:pStyle w:val="webnormal"/>
            </w:pPr>
            <w:r w:rsidRPr="001B63D4">
              <w:t>2</w:t>
            </w:r>
          </w:p>
        </w:tc>
        <w:tc>
          <w:tcPr>
            <w:tcW w:w="1800" w:type="dxa"/>
          </w:tcPr>
          <w:p w14:paraId="04B41690" w14:textId="77777777" w:rsidR="001B63D4" w:rsidRPr="001B63D4" w:rsidRDefault="001B63D4" w:rsidP="001B63D4">
            <w:pPr>
              <w:pStyle w:val="webnormal"/>
            </w:pPr>
            <w:r w:rsidRPr="001B63D4">
              <w:t>100114</w:t>
            </w:r>
          </w:p>
        </w:tc>
      </w:tr>
      <w:tr w:rsidR="001B63D4" w:rsidRPr="001B63D4" w14:paraId="7DFB4052" w14:textId="77777777" w:rsidTr="001B63D4">
        <w:tc>
          <w:tcPr>
            <w:tcW w:w="1620" w:type="dxa"/>
          </w:tcPr>
          <w:p w14:paraId="1CA3E9DE" w14:textId="77777777" w:rsidR="001B63D4" w:rsidRPr="001B63D4" w:rsidRDefault="001B63D4" w:rsidP="001B63D4">
            <w:pPr>
              <w:pStyle w:val="webnormal"/>
            </w:pPr>
            <w:r w:rsidRPr="001B63D4">
              <w:t>0391</w:t>
            </w:r>
          </w:p>
        </w:tc>
        <w:tc>
          <w:tcPr>
            <w:tcW w:w="1350" w:type="dxa"/>
          </w:tcPr>
          <w:p w14:paraId="574FB001" w14:textId="77777777" w:rsidR="001B63D4" w:rsidRPr="001B63D4" w:rsidRDefault="001B63D4" w:rsidP="001B63D4">
            <w:pPr>
              <w:pStyle w:val="webnormal"/>
            </w:pPr>
            <w:r w:rsidRPr="001B63D4">
              <w:t>CPT code</w:t>
            </w:r>
          </w:p>
        </w:tc>
        <w:tc>
          <w:tcPr>
            <w:tcW w:w="810" w:type="dxa"/>
          </w:tcPr>
          <w:p w14:paraId="272005B5" w14:textId="77777777" w:rsidR="001B63D4" w:rsidRPr="001B63D4" w:rsidRDefault="001B63D4" w:rsidP="001B63D4">
            <w:pPr>
              <w:pStyle w:val="webnormal"/>
            </w:pPr>
            <w:r w:rsidRPr="001B63D4">
              <w:t>1</w:t>
            </w:r>
          </w:p>
        </w:tc>
        <w:tc>
          <w:tcPr>
            <w:tcW w:w="1800" w:type="dxa"/>
          </w:tcPr>
          <w:p w14:paraId="1287C773" w14:textId="77777777" w:rsidR="001B63D4" w:rsidRPr="001B63D4" w:rsidRDefault="001B63D4" w:rsidP="001B63D4">
            <w:pPr>
              <w:pStyle w:val="webnormal"/>
            </w:pPr>
            <w:r w:rsidRPr="001B63D4">
              <w:t>100114</w:t>
            </w:r>
          </w:p>
        </w:tc>
      </w:tr>
    </w:tbl>
    <w:p w14:paraId="2ADF76D0" w14:textId="25717616" w:rsidR="00524F00" w:rsidRPr="001446BD" w:rsidRDefault="00524F00" w:rsidP="001446BD">
      <w:pPr>
        <w:pStyle w:val="webheader2"/>
      </w:pPr>
      <w:r w:rsidRPr="001446BD">
        <w:t xml:space="preserve">Blood </w:t>
      </w:r>
      <w:r w:rsidR="00D452CC">
        <w:t>p</w:t>
      </w:r>
      <w:r w:rsidRPr="001446BD">
        <w:t>roducts</w:t>
      </w:r>
    </w:p>
    <w:p w14:paraId="59DDC820" w14:textId="77777777" w:rsidR="00524F00" w:rsidRPr="00524F00" w:rsidRDefault="00524F00" w:rsidP="00524F00">
      <w:pPr>
        <w:pStyle w:val="webnormal"/>
      </w:pPr>
      <w:r w:rsidRPr="00524F00">
        <w:t>The following chart contain</w:t>
      </w:r>
      <w:r w:rsidR="00E96FF9">
        <w:t>s</w:t>
      </w:r>
      <w:r w:rsidRPr="00524F00">
        <w:t xml:space="preserve"> revenue codes for billing blood products.</w:t>
      </w:r>
    </w:p>
    <w:tbl>
      <w:tblPr>
        <w:tblW w:w="0" w:type="auto"/>
        <w:tblCellSpacing w:w="0" w:type="dxa"/>
        <w:tblCellMar>
          <w:left w:w="0" w:type="dxa"/>
          <w:right w:w="0" w:type="dxa"/>
        </w:tblCellMar>
        <w:tblLook w:val="04A0" w:firstRow="1" w:lastRow="0" w:firstColumn="1" w:lastColumn="0" w:noHBand="0" w:noVBand="1"/>
      </w:tblPr>
      <w:tblGrid>
        <w:gridCol w:w="1260"/>
        <w:gridCol w:w="3330"/>
      </w:tblGrid>
      <w:tr w:rsidR="00524F00" w:rsidRPr="001B63D4" w14:paraId="028E1ACF" w14:textId="77777777" w:rsidTr="001B63D4">
        <w:trPr>
          <w:tblCellSpacing w:w="0" w:type="dxa"/>
        </w:trPr>
        <w:tc>
          <w:tcPr>
            <w:tcW w:w="1260" w:type="dxa"/>
            <w:vAlign w:val="center"/>
            <w:hideMark/>
          </w:tcPr>
          <w:p w14:paraId="2C53672A" w14:textId="77777777" w:rsidR="006B052E" w:rsidRPr="001B63D4" w:rsidRDefault="00524F00" w:rsidP="001B63D4">
            <w:pPr>
              <w:pStyle w:val="webnormal"/>
            </w:pPr>
            <w:r w:rsidRPr="001B63D4">
              <w:lastRenderedPageBreak/>
              <w:t>Revenue Code</w:t>
            </w:r>
          </w:p>
        </w:tc>
        <w:tc>
          <w:tcPr>
            <w:tcW w:w="3330" w:type="dxa"/>
            <w:vAlign w:val="center"/>
            <w:hideMark/>
          </w:tcPr>
          <w:p w14:paraId="16A9938C" w14:textId="77777777" w:rsidR="006B052E" w:rsidRPr="001B63D4" w:rsidRDefault="00524F00" w:rsidP="001B63D4">
            <w:pPr>
              <w:pStyle w:val="webnormal"/>
            </w:pPr>
            <w:r w:rsidRPr="001B63D4">
              <w:t>Definition</w:t>
            </w:r>
          </w:p>
        </w:tc>
      </w:tr>
      <w:tr w:rsidR="00524F00" w:rsidRPr="001B63D4" w14:paraId="7243CC15" w14:textId="77777777" w:rsidTr="001B63D4">
        <w:trPr>
          <w:tblCellSpacing w:w="0" w:type="dxa"/>
        </w:trPr>
        <w:tc>
          <w:tcPr>
            <w:tcW w:w="1260" w:type="dxa"/>
            <w:vAlign w:val="center"/>
            <w:hideMark/>
          </w:tcPr>
          <w:p w14:paraId="20A72C7A" w14:textId="77777777" w:rsidR="006B052E" w:rsidRPr="001B63D4" w:rsidRDefault="00524F00" w:rsidP="001B63D4">
            <w:pPr>
              <w:pStyle w:val="webnormal"/>
            </w:pPr>
            <w:r w:rsidRPr="001B63D4">
              <w:t>0381</w:t>
            </w:r>
          </w:p>
        </w:tc>
        <w:tc>
          <w:tcPr>
            <w:tcW w:w="3330" w:type="dxa"/>
            <w:vAlign w:val="center"/>
            <w:hideMark/>
          </w:tcPr>
          <w:p w14:paraId="4861FD6B" w14:textId="77777777" w:rsidR="006B052E" w:rsidRPr="001B63D4" w:rsidRDefault="00524F00" w:rsidP="001B63D4">
            <w:pPr>
              <w:pStyle w:val="webnormal"/>
            </w:pPr>
            <w:r w:rsidRPr="001B63D4">
              <w:t>Packed red blood cells</w:t>
            </w:r>
          </w:p>
        </w:tc>
      </w:tr>
      <w:tr w:rsidR="00524F00" w:rsidRPr="001B63D4" w14:paraId="0828D70B" w14:textId="77777777" w:rsidTr="001B63D4">
        <w:trPr>
          <w:tblCellSpacing w:w="0" w:type="dxa"/>
        </w:trPr>
        <w:tc>
          <w:tcPr>
            <w:tcW w:w="1260" w:type="dxa"/>
            <w:vAlign w:val="center"/>
            <w:hideMark/>
          </w:tcPr>
          <w:p w14:paraId="2DF93625" w14:textId="77777777" w:rsidR="006B052E" w:rsidRPr="001B63D4" w:rsidRDefault="00524F00" w:rsidP="001B63D4">
            <w:pPr>
              <w:pStyle w:val="webnormal"/>
            </w:pPr>
            <w:r w:rsidRPr="001B63D4">
              <w:t>0382</w:t>
            </w:r>
          </w:p>
        </w:tc>
        <w:tc>
          <w:tcPr>
            <w:tcW w:w="3330" w:type="dxa"/>
            <w:vAlign w:val="center"/>
            <w:hideMark/>
          </w:tcPr>
          <w:p w14:paraId="4C9EEE4D" w14:textId="77777777" w:rsidR="006B052E" w:rsidRPr="001B63D4" w:rsidRDefault="00524F00" w:rsidP="001B63D4">
            <w:pPr>
              <w:pStyle w:val="webnormal"/>
            </w:pPr>
            <w:r w:rsidRPr="001B63D4">
              <w:t>Whole blood</w:t>
            </w:r>
          </w:p>
        </w:tc>
      </w:tr>
      <w:tr w:rsidR="00524F00" w:rsidRPr="001B63D4" w14:paraId="358C6529" w14:textId="77777777" w:rsidTr="001B63D4">
        <w:trPr>
          <w:tblCellSpacing w:w="0" w:type="dxa"/>
        </w:trPr>
        <w:tc>
          <w:tcPr>
            <w:tcW w:w="1260" w:type="dxa"/>
            <w:vAlign w:val="center"/>
            <w:hideMark/>
          </w:tcPr>
          <w:p w14:paraId="21CE7706" w14:textId="77777777" w:rsidR="006B052E" w:rsidRPr="001B63D4" w:rsidRDefault="00524F00" w:rsidP="001B63D4">
            <w:pPr>
              <w:pStyle w:val="webnormal"/>
            </w:pPr>
            <w:r w:rsidRPr="001B63D4">
              <w:t>0383</w:t>
            </w:r>
          </w:p>
        </w:tc>
        <w:tc>
          <w:tcPr>
            <w:tcW w:w="3330" w:type="dxa"/>
            <w:vAlign w:val="center"/>
            <w:hideMark/>
          </w:tcPr>
          <w:p w14:paraId="08B8D33C" w14:textId="77777777" w:rsidR="006B052E" w:rsidRPr="001B63D4" w:rsidRDefault="00524F00" w:rsidP="001B63D4">
            <w:pPr>
              <w:pStyle w:val="webnormal"/>
            </w:pPr>
            <w:r w:rsidRPr="001B63D4">
              <w:t>Plasma</w:t>
            </w:r>
          </w:p>
        </w:tc>
      </w:tr>
      <w:tr w:rsidR="00524F00" w:rsidRPr="001B63D4" w14:paraId="47D987D8" w14:textId="77777777" w:rsidTr="001B63D4">
        <w:trPr>
          <w:tblCellSpacing w:w="0" w:type="dxa"/>
        </w:trPr>
        <w:tc>
          <w:tcPr>
            <w:tcW w:w="1260" w:type="dxa"/>
            <w:vAlign w:val="center"/>
            <w:hideMark/>
          </w:tcPr>
          <w:p w14:paraId="6611B0DB" w14:textId="77777777" w:rsidR="006B052E" w:rsidRPr="001B63D4" w:rsidRDefault="00524F00" w:rsidP="001B63D4">
            <w:pPr>
              <w:pStyle w:val="webnormal"/>
            </w:pPr>
            <w:r w:rsidRPr="001B63D4">
              <w:t>0384</w:t>
            </w:r>
          </w:p>
        </w:tc>
        <w:tc>
          <w:tcPr>
            <w:tcW w:w="3330" w:type="dxa"/>
            <w:vAlign w:val="center"/>
            <w:hideMark/>
          </w:tcPr>
          <w:p w14:paraId="4FBAAF07" w14:textId="77777777" w:rsidR="006B052E" w:rsidRPr="001B63D4" w:rsidRDefault="00524F00" w:rsidP="001B63D4">
            <w:pPr>
              <w:pStyle w:val="webnormal"/>
            </w:pPr>
            <w:r w:rsidRPr="001B63D4">
              <w:t>Platelets</w:t>
            </w:r>
          </w:p>
        </w:tc>
      </w:tr>
      <w:tr w:rsidR="00524F00" w:rsidRPr="001B63D4" w14:paraId="448FA1CC" w14:textId="77777777" w:rsidTr="001B63D4">
        <w:trPr>
          <w:tblCellSpacing w:w="0" w:type="dxa"/>
        </w:trPr>
        <w:tc>
          <w:tcPr>
            <w:tcW w:w="1260" w:type="dxa"/>
            <w:vAlign w:val="center"/>
            <w:hideMark/>
          </w:tcPr>
          <w:p w14:paraId="7F3D3D4F" w14:textId="77777777" w:rsidR="006B052E" w:rsidRPr="001B63D4" w:rsidRDefault="00524F00" w:rsidP="001B63D4">
            <w:pPr>
              <w:pStyle w:val="webnormal"/>
            </w:pPr>
            <w:r w:rsidRPr="001B63D4">
              <w:t>0385</w:t>
            </w:r>
          </w:p>
        </w:tc>
        <w:tc>
          <w:tcPr>
            <w:tcW w:w="3330" w:type="dxa"/>
            <w:vAlign w:val="center"/>
            <w:hideMark/>
          </w:tcPr>
          <w:p w14:paraId="6B6609B7" w14:textId="77777777" w:rsidR="006B052E" w:rsidRPr="001B63D4" w:rsidRDefault="00524F00" w:rsidP="001B63D4">
            <w:pPr>
              <w:pStyle w:val="webnormal"/>
            </w:pPr>
            <w:r w:rsidRPr="001B63D4">
              <w:t>Leukocytes</w:t>
            </w:r>
          </w:p>
        </w:tc>
      </w:tr>
      <w:tr w:rsidR="00524F00" w:rsidRPr="001B63D4" w14:paraId="4A1D6AEC" w14:textId="77777777" w:rsidTr="001B63D4">
        <w:trPr>
          <w:tblCellSpacing w:w="0" w:type="dxa"/>
        </w:trPr>
        <w:tc>
          <w:tcPr>
            <w:tcW w:w="1260" w:type="dxa"/>
            <w:vAlign w:val="center"/>
            <w:hideMark/>
          </w:tcPr>
          <w:p w14:paraId="553EF3BD" w14:textId="77777777" w:rsidR="006B052E" w:rsidRPr="001B63D4" w:rsidRDefault="00524F00" w:rsidP="001B63D4">
            <w:pPr>
              <w:pStyle w:val="webnormal"/>
            </w:pPr>
            <w:r w:rsidRPr="001B63D4">
              <w:t>0386</w:t>
            </w:r>
          </w:p>
        </w:tc>
        <w:tc>
          <w:tcPr>
            <w:tcW w:w="3330" w:type="dxa"/>
            <w:vAlign w:val="center"/>
            <w:hideMark/>
          </w:tcPr>
          <w:p w14:paraId="6B197153" w14:textId="77777777" w:rsidR="006B052E" w:rsidRPr="001B63D4" w:rsidRDefault="00524F00" w:rsidP="001B63D4">
            <w:pPr>
              <w:pStyle w:val="webnormal"/>
            </w:pPr>
            <w:r w:rsidRPr="001B63D4">
              <w:t>Other components</w:t>
            </w:r>
          </w:p>
        </w:tc>
      </w:tr>
      <w:tr w:rsidR="00524F00" w:rsidRPr="001B63D4" w14:paraId="2BA21E64" w14:textId="77777777" w:rsidTr="001B63D4">
        <w:trPr>
          <w:tblCellSpacing w:w="0" w:type="dxa"/>
        </w:trPr>
        <w:tc>
          <w:tcPr>
            <w:tcW w:w="1260" w:type="dxa"/>
            <w:vAlign w:val="center"/>
            <w:hideMark/>
          </w:tcPr>
          <w:p w14:paraId="659BBD9E" w14:textId="77777777" w:rsidR="006B052E" w:rsidRPr="001B63D4" w:rsidRDefault="00524F00" w:rsidP="001B63D4">
            <w:pPr>
              <w:pStyle w:val="webnormal"/>
            </w:pPr>
            <w:r w:rsidRPr="001B63D4">
              <w:t>0387</w:t>
            </w:r>
          </w:p>
        </w:tc>
        <w:tc>
          <w:tcPr>
            <w:tcW w:w="3330" w:type="dxa"/>
            <w:vAlign w:val="center"/>
            <w:hideMark/>
          </w:tcPr>
          <w:p w14:paraId="22C64718" w14:textId="77777777" w:rsidR="006B052E" w:rsidRPr="001B63D4" w:rsidRDefault="00524F00" w:rsidP="001B63D4">
            <w:pPr>
              <w:pStyle w:val="webnormal"/>
            </w:pPr>
            <w:r w:rsidRPr="001B63D4">
              <w:t>Other derivatives</w:t>
            </w:r>
          </w:p>
        </w:tc>
      </w:tr>
      <w:tr w:rsidR="00524F00" w:rsidRPr="001B63D4" w14:paraId="054AD30C" w14:textId="77777777" w:rsidTr="001B63D4">
        <w:trPr>
          <w:tblCellSpacing w:w="0" w:type="dxa"/>
        </w:trPr>
        <w:tc>
          <w:tcPr>
            <w:tcW w:w="1260" w:type="dxa"/>
            <w:vAlign w:val="center"/>
            <w:hideMark/>
          </w:tcPr>
          <w:p w14:paraId="05749E6D" w14:textId="77777777" w:rsidR="006B052E" w:rsidRPr="001B63D4" w:rsidRDefault="00524F00" w:rsidP="001B63D4">
            <w:pPr>
              <w:pStyle w:val="webnormal"/>
            </w:pPr>
            <w:r w:rsidRPr="001B63D4">
              <w:t>0389</w:t>
            </w:r>
          </w:p>
        </w:tc>
        <w:tc>
          <w:tcPr>
            <w:tcW w:w="3330" w:type="dxa"/>
            <w:vAlign w:val="center"/>
            <w:hideMark/>
          </w:tcPr>
          <w:p w14:paraId="65EE62A2" w14:textId="77777777" w:rsidR="006B052E" w:rsidRPr="001B63D4" w:rsidRDefault="00524F00" w:rsidP="001B63D4">
            <w:pPr>
              <w:pStyle w:val="webnormal"/>
            </w:pPr>
            <w:r w:rsidRPr="001B63D4">
              <w:t>Other blood</w:t>
            </w:r>
          </w:p>
        </w:tc>
      </w:tr>
    </w:tbl>
    <w:p w14:paraId="228F1FF2" w14:textId="29FDF915" w:rsidR="00524F00" w:rsidRPr="001446BD" w:rsidRDefault="00524F00" w:rsidP="001446BD">
      <w:pPr>
        <w:pStyle w:val="webheader2"/>
      </w:pPr>
      <w:r w:rsidRPr="001446BD">
        <w:t xml:space="preserve">Blood </w:t>
      </w:r>
      <w:r w:rsidR="00D452CC">
        <w:t>s</w:t>
      </w:r>
      <w:r w:rsidRPr="001446BD">
        <w:t xml:space="preserve">torage and </w:t>
      </w:r>
      <w:r w:rsidR="00D452CC">
        <w:t>p</w:t>
      </w:r>
      <w:r w:rsidRPr="001446BD">
        <w:t>rocessing</w:t>
      </w:r>
    </w:p>
    <w:p w14:paraId="67C93D4F" w14:textId="77777777" w:rsidR="00524F00" w:rsidRPr="00524F00" w:rsidRDefault="00524F00" w:rsidP="001A5D47">
      <w:pPr>
        <w:pStyle w:val="webnormal"/>
      </w:pPr>
      <w:r w:rsidRPr="00524F00">
        <w:t xml:space="preserve">The blood product revenue code and HCPCS code </w:t>
      </w:r>
      <w:r w:rsidRPr="001A5D47">
        <w:t>(“P” code)</w:t>
      </w:r>
      <w:r w:rsidRPr="00524F00">
        <w:t xml:space="preserve"> reported on the claim must match.</w:t>
      </w:r>
    </w:p>
    <w:p w14:paraId="2E41FAF5" w14:textId="77777777" w:rsidR="00524F00" w:rsidRPr="00E11DEF" w:rsidRDefault="00524F00" w:rsidP="000032B3">
      <w:pPr>
        <w:pStyle w:val="webheader3"/>
        <w:rPr>
          <w:rStyle w:val="webbold"/>
        </w:rPr>
      </w:pPr>
      <w:r w:rsidRPr="000032B3">
        <w:rPr>
          <w:rStyle w:val="webbold"/>
          <w:rFonts w:ascii="Verdana" w:hAnsi="Verdana"/>
          <w:b/>
        </w:rPr>
        <w:t>Example</w:t>
      </w:r>
    </w:p>
    <w:p w14:paraId="34455B20" w14:textId="77777777" w:rsidR="00524F00" w:rsidRPr="00524F00" w:rsidRDefault="00524F00" w:rsidP="001A5D47">
      <w:pPr>
        <w:pStyle w:val="webnormal"/>
      </w:pPr>
      <w:r w:rsidRPr="00524F00">
        <w:t xml:space="preserve">Revenue code 0382 </w:t>
      </w:r>
      <w:r w:rsidRPr="001A5D47">
        <w:t>(whole blood)</w:t>
      </w:r>
      <w:r w:rsidRPr="00E11DEF">
        <w:rPr>
          <w:rStyle w:val="webitalics"/>
        </w:rPr>
        <w:t xml:space="preserve"> </w:t>
      </w:r>
      <w:r w:rsidRPr="00524F00">
        <w:t xml:space="preserve">and HCPCS code P9010 </w:t>
      </w:r>
      <w:r w:rsidRPr="001A5D47">
        <w:t>(whole blood for transfusion, per unit)</w:t>
      </w:r>
      <w:r w:rsidRPr="00524F00">
        <w:t>.</w:t>
      </w:r>
    </w:p>
    <w:tbl>
      <w:tblPr>
        <w:tblW w:w="0" w:type="auto"/>
        <w:tblCellSpacing w:w="0" w:type="dxa"/>
        <w:tblCellMar>
          <w:left w:w="0" w:type="dxa"/>
          <w:right w:w="0" w:type="dxa"/>
        </w:tblCellMar>
        <w:tblLook w:val="04A0" w:firstRow="1" w:lastRow="0" w:firstColumn="1" w:lastColumn="0" w:noHBand="0" w:noVBand="1"/>
      </w:tblPr>
      <w:tblGrid>
        <w:gridCol w:w="1260"/>
        <w:gridCol w:w="3330"/>
      </w:tblGrid>
      <w:tr w:rsidR="00524F00" w:rsidRPr="001B63D4" w14:paraId="5514A4EF" w14:textId="77777777" w:rsidTr="001B63D4">
        <w:trPr>
          <w:tblCellSpacing w:w="0" w:type="dxa"/>
        </w:trPr>
        <w:tc>
          <w:tcPr>
            <w:tcW w:w="1260" w:type="dxa"/>
            <w:vAlign w:val="center"/>
            <w:hideMark/>
          </w:tcPr>
          <w:p w14:paraId="63C5B776" w14:textId="77777777" w:rsidR="006B052E" w:rsidRPr="001B63D4" w:rsidRDefault="00524F00" w:rsidP="001B63D4">
            <w:pPr>
              <w:pStyle w:val="webnormal"/>
            </w:pPr>
            <w:r w:rsidRPr="001B63D4">
              <w:t>Revenue Code</w:t>
            </w:r>
          </w:p>
        </w:tc>
        <w:tc>
          <w:tcPr>
            <w:tcW w:w="3330" w:type="dxa"/>
            <w:vAlign w:val="center"/>
            <w:hideMark/>
          </w:tcPr>
          <w:p w14:paraId="331C05BB" w14:textId="77777777" w:rsidR="006B052E" w:rsidRPr="001B63D4" w:rsidRDefault="00524F00" w:rsidP="001B63D4">
            <w:pPr>
              <w:pStyle w:val="webnormal"/>
            </w:pPr>
            <w:r w:rsidRPr="001B63D4">
              <w:t>Definition</w:t>
            </w:r>
          </w:p>
        </w:tc>
      </w:tr>
      <w:tr w:rsidR="00524F00" w:rsidRPr="001B63D4" w14:paraId="1BC7DF6F" w14:textId="77777777" w:rsidTr="001B63D4">
        <w:trPr>
          <w:tblCellSpacing w:w="0" w:type="dxa"/>
        </w:trPr>
        <w:tc>
          <w:tcPr>
            <w:tcW w:w="1260" w:type="dxa"/>
            <w:hideMark/>
          </w:tcPr>
          <w:p w14:paraId="1408420A" w14:textId="77777777" w:rsidR="006B052E" w:rsidRPr="001B63D4" w:rsidRDefault="00524F00" w:rsidP="001B63D4">
            <w:pPr>
              <w:pStyle w:val="webnormal"/>
            </w:pPr>
            <w:r w:rsidRPr="001B63D4">
              <w:t>0390</w:t>
            </w:r>
          </w:p>
        </w:tc>
        <w:tc>
          <w:tcPr>
            <w:tcW w:w="3330" w:type="dxa"/>
            <w:hideMark/>
          </w:tcPr>
          <w:p w14:paraId="1BDA2B9D" w14:textId="77777777" w:rsidR="006B052E" w:rsidRPr="001B63D4" w:rsidRDefault="00524F00" w:rsidP="001B63D4">
            <w:pPr>
              <w:pStyle w:val="webnormal"/>
            </w:pPr>
            <w:r w:rsidRPr="001B63D4">
              <w:t>General</w:t>
            </w:r>
          </w:p>
        </w:tc>
      </w:tr>
      <w:tr w:rsidR="00524F00" w:rsidRPr="001B63D4" w14:paraId="7288932D" w14:textId="77777777" w:rsidTr="001B63D4">
        <w:trPr>
          <w:tblCellSpacing w:w="0" w:type="dxa"/>
        </w:trPr>
        <w:tc>
          <w:tcPr>
            <w:tcW w:w="1260" w:type="dxa"/>
            <w:hideMark/>
          </w:tcPr>
          <w:p w14:paraId="5DD35E0B" w14:textId="77777777" w:rsidR="006B052E" w:rsidRPr="001B63D4" w:rsidRDefault="00524F00" w:rsidP="001B63D4">
            <w:pPr>
              <w:pStyle w:val="webnormal"/>
            </w:pPr>
            <w:r w:rsidRPr="001B63D4">
              <w:t>0391</w:t>
            </w:r>
          </w:p>
        </w:tc>
        <w:tc>
          <w:tcPr>
            <w:tcW w:w="3330" w:type="dxa"/>
            <w:hideMark/>
          </w:tcPr>
          <w:p w14:paraId="10CBB918" w14:textId="77777777" w:rsidR="006B052E" w:rsidRPr="001B63D4" w:rsidRDefault="00524F00" w:rsidP="001B63D4">
            <w:pPr>
              <w:pStyle w:val="webnormal"/>
            </w:pPr>
            <w:r w:rsidRPr="001B63D4">
              <w:t>Blood administration – transfusion</w:t>
            </w:r>
          </w:p>
        </w:tc>
      </w:tr>
      <w:tr w:rsidR="00524F00" w:rsidRPr="001B63D4" w14:paraId="238DC20F" w14:textId="77777777" w:rsidTr="001B63D4">
        <w:trPr>
          <w:tblCellSpacing w:w="0" w:type="dxa"/>
        </w:trPr>
        <w:tc>
          <w:tcPr>
            <w:tcW w:w="1260" w:type="dxa"/>
            <w:hideMark/>
          </w:tcPr>
          <w:p w14:paraId="7C830DCB" w14:textId="77777777" w:rsidR="006B052E" w:rsidRPr="001B63D4" w:rsidRDefault="00524F00" w:rsidP="001B63D4">
            <w:pPr>
              <w:pStyle w:val="webnormal"/>
            </w:pPr>
            <w:r w:rsidRPr="001B63D4">
              <w:t>0392</w:t>
            </w:r>
          </w:p>
        </w:tc>
        <w:tc>
          <w:tcPr>
            <w:tcW w:w="3330" w:type="dxa"/>
            <w:hideMark/>
          </w:tcPr>
          <w:p w14:paraId="4AB52D0A" w14:textId="77777777" w:rsidR="006B052E" w:rsidRPr="001B63D4" w:rsidRDefault="00524F00" w:rsidP="001B63D4">
            <w:pPr>
              <w:pStyle w:val="webnormal"/>
            </w:pPr>
            <w:r w:rsidRPr="001B63D4">
              <w:t>Processing and storage</w:t>
            </w:r>
          </w:p>
        </w:tc>
      </w:tr>
      <w:tr w:rsidR="00524F00" w:rsidRPr="001B63D4" w14:paraId="2F1C6A24" w14:textId="77777777" w:rsidTr="001B63D4">
        <w:trPr>
          <w:tblCellSpacing w:w="0" w:type="dxa"/>
        </w:trPr>
        <w:tc>
          <w:tcPr>
            <w:tcW w:w="1260" w:type="dxa"/>
            <w:hideMark/>
          </w:tcPr>
          <w:p w14:paraId="105A82BB" w14:textId="77777777" w:rsidR="006B052E" w:rsidRPr="001B63D4" w:rsidRDefault="00524F00" w:rsidP="001B63D4">
            <w:pPr>
              <w:pStyle w:val="webnormal"/>
            </w:pPr>
            <w:r w:rsidRPr="001B63D4">
              <w:t>0399</w:t>
            </w:r>
          </w:p>
        </w:tc>
        <w:tc>
          <w:tcPr>
            <w:tcW w:w="3330" w:type="dxa"/>
            <w:hideMark/>
          </w:tcPr>
          <w:p w14:paraId="7B560C22" w14:textId="77777777" w:rsidR="006B052E" w:rsidRPr="001B63D4" w:rsidRDefault="00524F00" w:rsidP="001B63D4">
            <w:pPr>
              <w:pStyle w:val="webnormal"/>
            </w:pPr>
            <w:r w:rsidRPr="001B63D4">
              <w:t>Other blood storage and processing</w:t>
            </w:r>
          </w:p>
        </w:tc>
      </w:tr>
    </w:tbl>
    <w:p w14:paraId="7020AF3B" w14:textId="4320EE52" w:rsidR="00524F00" w:rsidRDefault="00524F00" w:rsidP="001446BD">
      <w:pPr>
        <w:pStyle w:val="webheader2"/>
      </w:pPr>
      <w:r w:rsidRPr="001446BD">
        <w:t xml:space="preserve">Value </w:t>
      </w:r>
      <w:r w:rsidR="00D452CC">
        <w:t>c</w:t>
      </w:r>
      <w:r w:rsidRPr="001446BD">
        <w:t xml:space="preserve">odes for </w:t>
      </w:r>
      <w:r w:rsidR="00D452CC">
        <w:t>b</w:t>
      </w:r>
      <w:r w:rsidRPr="001446BD">
        <w:t xml:space="preserve">lood </w:t>
      </w:r>
      <w:r w:rsidR="00D452CC">
        <w:t>d</w:t>
      </w:r>
      <w:r w:rsidRPr="001446BD">
        <w:t>eductible</w:t>
      </w:r>
    </w:p>
    <w:tbl>
      <w:tblPr>
        <w:tblW w:w="0" w:type="auto"/>
        <w:tblInd w:w="108" w:type="dxa"/>
        <w:tblLook w:val="0000" w:firstRow="0" w:lastRow="0" w:firstColumn="0" w:lastColumn="0" w:noHBand="0" w:noVBand="0"/>
      </w:tblPr>
      <w:tblGrid>
        <w:gridCol w:w="1710"/>
        <w:gridCol w:w="3240"/>
        <w:gridCol w:w="3870"/>
      </w:tblGrid>
      <w:tr w:rsidR="000032B3" w:rsidRPr="000032B3" w14:paraId="33D6A467" w14:textId="77777777" w:rsidTr="000032B3">
        <w:tc>
          <w:tcPr>
            <w:tcW w:w="1710" w:type="dxa"/>
          </w:tcPr>
          <w:p w14:paraId="30EF6791" w14:textId="77777777" w:rsidR="000032B3" w:rsidRPr="000032B3" w:rsidRDefault="000032B3" w:rsidP="000032B3">
            <w:pPr>
              <w:pStyle w:val="webnormal"/>
            </w:pPr>
            <w:r w:rsidRPr="000032B3">
              <w:t>Value Code</w:t>
            </w:r>
          </w:p>
        </w:tc>
        <w:tc>
          <w:tcPr>
            <w:tcW w:w="3240" w:type="dxa"/>
          </w:tcPr>
          <w:p w14:paraId="6B64E656" w14:textId="77777777" w:rsidR="000032B3" w:rsidRPr="000032B3" w:rsidRDefault="000032B3" w:rsidP="000032B3">
            <w:pPr>
              <w:pStyle w:val="webnormal"/>
            </w:pPr>
            <w:r w:rsidRPr="000032B3">
              <w:t>Description</w:t>
            </w:r>
          </w:p>
        </w:tc>
        <w:tc>
          <w:tcPr>
            <w:tcW w:w="3870" w:type="dxa"/>
          </w:tcPr>
          <w:p w14:paraId="18E56815" w14:textId="77777777" w:rsidR="000032B3" w:rsidRPr="000032B3" w:rsidRDefault="000032B3" w:rsidP="000032B3">
            <w:pPr>
              <w:pStyle w:val="webnormal"/>
            </w:pPr>
            <w:r w:rsidRPr="000032B3">
              <w:t>Definition</w:t>
            </w:r>
          </w:p>
        </w:tc>
      </w:tr>
      <w:tr w:rsidR="000032B3" w:rsidRPr="000032B3" w14:paraId="29E4B6FA" w14:textId="77777777" w:rsidTr="000032B3">
        <w:trPr>
          <w:trHeight w:val="450"/>
        </w:trPr>
        <w:tc>
          <w:tcPr>
            <w:tcW w:w="1710" w:type="dxa"/>
          </w:tcPr>
          <w:p w14:paraId="4C6DD4CA" w14:textId="77777777" w:rsidR="000032B3" w:rsidRPr="000032B3" w:rsidRDefault="000032B3" w:rsidP="000032B3">
            <w:pPr>
              <w:pStyle w:val="webnormal"/>
            </w:pPr>
            <w:r w:rsidRPr="000032B3">
              <w:t>06</w:t>
            </w:r>
          </w:p>
        </w:tc>
        <w:tc>
          <w:tcPr>
            <w:tcW w:w="3240" w:type="dxa"/>
          </w:tcPr>
          <w:p w14:paraId="2C892D44" w14:textId="77777777" w:rsidR="000032B3" w:rsidRPr="000032B3" w:rsidRDefault="000032B3" w:rsidP="000032B3">
            <w:pPr>
              <w:pStyle w:val="webnormal"/>
            </w:pPr>
            <w:r w:rsidRPr="000032B3">
              <w:t>Dollar amount for blood deductible</w:t>
            </w:r>
          </w:p>
        </w:tc>
        <w:tc>
          <w:tcPr>
            <w:tcW w:w="3870" w:type="dxa"/>
          </w:tcPr>
          <w:p w14:paraId="259A420D" w14:textId="77777777" w:rsidR="000032B3" w:rsidRPr="000032B3" w:rsidRDefault="000032B3" w:rsidP="000032B3">
            <w:pPr>
              <w:pStyle w:val="webnormal"/>
            </w:pPr>
            <w:r w:rsidRPr="000032B3">
              <w:t>Amount shown is the product of the number of un-replaced deductible pints of blood supplied times the charge per pint. If all deductible pints have been replaced, this code is not used. When the provider gives a discount for un-replaced deductible blood, charges after the discount is applied are shown.</w:t>
            </w:r>
          </w:p>
        </w:tc>
      </w:tr>
      <w:tr w:rsidR="000032B3" w:rsidRPr="000032B3" w14:paraId="174F5D83" w14:textId="77777777" w:rsidTr="000032B3">
        <w:tc>
          <w:tcPr>
            <w:tcW w:w="1710" w:type="dxa"/>
          </w:tcPr>
          <w:p w14:paraId="464C6EE2" w14:textId="77777777" w:rsidR="000032B3" w:rsidRPr="000032B3" w:rsidRDefault="000032B3" w:rsidP="000032B3">
            <w:pPr>
              <w:pStyle w:val="webnormal"/>
            </w:pPr>
            <w:r w:rsidRPr="000032B3">
              <w:lastRenderedPageBreak/>
              <w:t>37</w:t>
            </w:r>
          </w:p>
        </w:tc>
        <w:tc>
          <w:tcPr>
            <w:tcW w:w="3240" w:type="dxa"/>
          </w:tcPr>
          <w:p w14:paraId="7D46BAAD" w14:textId="77777777" w:rsidR="000032B3" w:rsidRPr="000032B3" w:rsidRDefault="000032B3" w:rsidP="000032B3">
            <w:pPr>
              <w:pStyle w:val="webnormal"/>
            </w:pPr>
            <w:r w:rsidRPr="000032B3">
              <w:t>Number of pints of blood patient received</w:t>
            </w:r>
          </w:p>
        </w:tc>
        <w:tc>
          <w:tcPr>
            <w:tcW w:w="3870" w:type="dxa"/>
          </w:tcPr>
          <w:p w14:paraId="1D74723D" w14:textId="77777777" w:rsidR="000032B3" w:rsidRPr="000032B3" w:rsidRDefault="000032B3" w:rsidP="000032B3">
            <w:pPr>
              <w:pStyle w:val="webnormal"/>
            </w:pPr>
            <w:r w:rsidRPr="000032B3">
              <w:t xml:space="preserve">Total number of pints of whole blood or units of packed red cells furnished, </w:t>
            </w:r>
            <w:proofErr w:type="gramStart"/>
            <w:r w:rsidRPr="000032B3">
              <w:t>whether or not</w:t>
            </w:r>
            <w:proofErr w:type="gramEnd"/>
            <w:r w:rsidRPr="000032B3">
              <w:t xml:space="preserve"> they were replaced.</w:t>
            </w:r>
          </w:p>
        </w:tc>
      </w:tr>
      <w:tr w:rsidR="000032B3" w:rsidRPr="000032B3" w14:paraId="7B0A6F09" w14:textId="77777777" w:rsidTr="000032B3">
        <w:tc>
          <w:tcPr>
            <w:tcW w:w="1710" w:type="dxa"/>
          </w:tcPr>
          <w:p w14:paraId="5AC32BC7" w14:textId="77777777" w:rsidR="000032B3" w:rsidRPr="000032B3" w:rsidRDefault="000032B3" w:rsidP="000032B3">
            <w:pPr>
              <w:pStyle w:val="webnormal"/>
            </w:pPr>
            <w:r w:rsidRPr="000032B3">
              <w:t>38</w:t>
            </w:r>
          </w:p>
        </w:tc>
        <w:tc>
          <w:tcPr>
            <w:tcW w:w="3240" w:type="dxa"/>
          </w:tcPr>
          <w:p w14:paraId="0C734C2F" w14:textId="77777777" w:rsidR="000032B3" w:rsidRPr="000032B3" w:rsidRDefault="000032B3" w:rsidP="000032B3">
            <w:pPr>
              <w:pStyle w:val="webnormal"/>
            </w:pPr>
            <w:r w:rsidRPr="000032B3">
              <w:t>Number of pints of blood applied to deductible</w:t>
            </w:r>
          </w:p>
        </w:tc>
        <w:tc>
          <w:tcPr>
            <w:tcW w:w="3870" w:type="dxa"/>
          </w:tcPr>
          <w:p w14:paraId="3E3E6737" w14:textId="77777777" w:rsidR="000032B3" w:rsidRPr="000032B3" w:rsidRDefault="000032B3" w:rsidP="000032B3">
            <w:pPr>
              <w:pStyle w:val="webnormal"/>
            </w:pPr>
            <w:r w:rsidRPr="000032B3">
              <w:t>Number of un-replaced deductible pints of blood supplied. If all deductible pints furnished have been replaced, no entry is made.</w:t>
            </w:r>
          </w:p>
        </w:tc>
      </w:tr>
      <w:tr w:rsidR="000032B3" w:rsidRPr="000032B3" w14:paraId="487A5482" w14:textId="77777777" w:rsidTr="000032B3">
        <w:tc>
          <w:tcPr>
            <w:tcW w:w="1710" w:type="dxa"/>
          </w:tcPr>
          <w:p w14:paraId="5A52A61A" w14:textId="77777777" w:rsidR="000032B3" w:rsidRPr="000032B3" w:rsidRDefault="000032B3" w:rsidP="000032B3">
            <w:pPr>
              <w:pStyle w:val="webnormal"/>
            </w:pPr>
            <w:r w:rsidRPr="000032B3">
              <w:t>39</w:t>
            </w:r>
          </w:p>
        </w:tc>
        <w:tc>
          <w:tcPr>
            <w:tcW w:w="3240" w:type="dxa"/>
          </w:tcPr>
          <w:p w14:paraId="2FBB1AC6" w14:textId="77777777" w:rsidR="000032B3" w:rsidRPr="000032B3" w:rsidRDefault="000032B3" w:rsidP="000032B3">
            <w:pPr>
              <w:pStyle w:val="webnormal"/>
            </w:pPr>
            <w:r w:rsidRPr="000032B3">
              <w:t>Number of pints replaced</w:t>
            </w:r>
          </w:p>
        </w:tc>
        <w:tc>
          <w:tcPr>
            <w:tcW w:w="3870" w:type="dxa"/>
          </w:tcPr>
          <w:p w14:paraId="37FEE3EA" w14:textId="77777777" w:rsidR="000032B3" w:rsidRPr="000032B3" w:rsidRDefault="000032B3" w:rsidP="000032B3">
            <w:pPr>
              <w:pStyle w:val="webnormal"/>
            </w:pPr>
            <w:r w:rsidRPr="000032B3">
              <w:t>Number of pints of blood that were donated on the patient’s behalf. If all blood has been replaced, all blood charges are shown under the 039X revenue code series (blood administration) or under the 030X revenue code series (laboratory).</w:t>
            </w:r>
          </w:p>
        </w:tc>
      </w:tr>
    </w:tbl>
    <w:p w14:paraId="1808EA87" w14:textId="77777777" w:rsidR="00524F00" w:rsidRDefault="00524F00" w:rsidP="001A5D47">
      <w:pPr>
        <w:pStyle w:val="webnormal"/>
      </w:pPr>
      <w:r w:rsidRPr="009803E6">
        <w:rPr>
          <w:rStyle w:val="webbold"/>
        </w:rPr>
        <w:t>Note:</w:t>
      </w:r>
      <w:r w:rsidRPr="00524F00">
        <w:t xml:space="preserve"> Providers should not report value codes 38 or 06. If necessary, these will be applied by the </w:t>
      </w:r>
      <w:r w:rsidRPr="001A5D47">
        <w:t>Medicare Administrative Contractor</w:t>
      </w:r>
      <w:r w:rsidRPr="00524F00">
        <w:t>.</w:t>
      </w:r>
    </w:p>
    <w:p w14:paraId="2919F4B7" w14:textId="77777777" w:rsidR="000032B3" w:rsidRDefault="000032B3" w:rsidP="000032B3">
      <w:pPr>
        <w:pStyle w:val="webheader2"/>
      </w:pPr>
      <w:r>
        <w:t>Additional information</w:t>
      </w:r>
    </w:p>
    <w:p w14:paraId="63CDE8BE" w14:textId="206A9DE3" w:rsidR="000032B3" w:rsidRDefault="000032B3" w:rsidP="001A5D47">
      <w:pPr>
        <w:pStyle w:val="webnormal"/>
      </w:pPr>
      <w:r>
        <w:t>For additional information and HCPCS/CPT codes</w:t>
      </w:r>
      <w:r w:rsidR="00E96FF9">
        <w:t xml:space="preserve"> for blood products</w:t>
      </w:r>
      <w:r>
        <w:t xml:space="preserve">, please visit the </w:t>
      </w:r>
      <w:hyperlink r:id="rId9" w:history="1">
        <w:r w:rsidR="001B63D4">
          <w:rPr>
            <w:rStyle w:val="Hyperlink"/>
          </w:rPr>
          <w:t>CMS IOM Publication 100-04, Claims Processing Manual, Chapter 4, Section 231</w:t>
        </w:r>
      </w:hyperlink>
      <w:r>
        <w:t>.</w:t>
      </w:r>
    </w:p>
    <w:p w14:paraId="3537C703" w14:textId="0177C73D" w:rsidR="000C1B51" w:rsidRPr="00524F00" w:rsidRDefault="00257253" w:rsidP="001A5D47">
      <w:pPr>
        <w:pStyle w:val="webnormal"/>
      </w:pPr>
      <w:r w:rsidRPr="00257253">
        <w:t xml:space="preserve">Payment for blood and blood products is based on the </w:t>
      </w:r>
      <w:r w:rsidR="00D452CC">
        <w:t>a</w:t>
      </w:r>
      <w:r w:rsidRPr="00257253">
        <w:t xml:space="preserve">mbulatory </w:t>
      </w:r>
      <w:r w:rsidR="00D452CC">
        <w:t>p</w:t>
      </w:r>
      <w:r w:rsidRPr="00257253">
        <w:t xml:space="preserve">ayment </w:t>
      </w:r>
      <w:r w:rsidR="00D452CC">
        <w:t>c</w:t>
      </w:r>
      <w:r w:rsidRPr="00257253">
        <w:t xml:space="preserve">lassification (APC) </w:t>
      </w:r>
      <w:r w:rsidR="00D452CC">
        <w:t>g</w:t>
      </w:r>
      <w:r w:rsidRPr="00257253">
        <w:t>roup to which the HCPCS code is assigned, multiplied by the number of units transfused</w:t>
      </w:r>
      <w:r>
        <w:t xml:space="preserve">. </w:t>
      </w:r>
      <w:r w:rsidR="000C1B51">
        <w:t xml:space="preserve">For </w:t>
      </w:r>
      <w:r>
        <w:t>APC</w:t>
      </w:r>
      <w:r w:rsidR="000C1B51">
        <w:t xml:space="preserve"> pricing information, see </w:t>
      </w:r>
      <w:hyperlink r:id="rId10" w:history="1">
        <w:r w:rsidR="000C1B51" w:rsidRPr="000C1B51">
          <w:rPr>
            <w:rStyle w:val="Hyperlink"/>
          </w:rPr>
          <w:t>Addendum B</w:t>
        </w:r>
      </w:hyperlink>
      <w:r w:rsidR="000C1B51">
        <w:t>.</w:t>
      </w:r>
    </w:p>
    <w:sectPr w:rsidR="000C1B51" w:rsidRPr="00524F00"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EF83B06"/>
    <w:multiLevelType w:val="multilevel"/>
    <w:tmpl w:val="261A0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3827B5"/>
    <w:multiLevelType w:val="multilevel"/>
    <w:tmpl w:val="11F40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E626BE3"/>
    <w:multiLevelType w:val="multilevel"/>
    <w:tmpl w:val="7B2A8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3"/>
  </w:num>
  <w:num w:numId="3">
    <w:abstractNumId w:val="10"/>
  </w:num>
  <w:num w:numId="4">
    <w:abstractNumId w:val="19"/>
  </w:num>
  <w:num w:numId="5">
    <w:abstractNumId w:val="12"/>
  </w:num>
  <w:num w:numId="6">
    <w:abstractNumId w:val="15"/>
  </w:num>
  <w:num w:numId="7">
    <w:abstractNumId w:val="12"/>
  </w:num>
  <w:num w:numId="8">
    <w:abstractNumId w:val="19"/>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6"/>
  </w:num>
  <w:num w:numId="24">
    <w:abstractNumId w:val="14"/>
  </w:num>
  <w:num w:numId="25">
    <w:abstractNumId w:val="17"/>
  </w:num>
  <w:num w:numId="26">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F00"/>
    <w:rsid w:val="000032B3"/>
    <w:rsid w:val="000C1B51"/>
    <w:rsid w:val="000C1D4A"/>
    <w:rsid w:val="00130DF9"/>
    <w:rsid w:val="00140E06"/>
    <w:rsid w:val="001446BD"/>
    <w:rsid w:val="00145DCD"/>
    <w:rsid w:val="00156209"/>
    <w:rsid w:val="00157BBA"/>
    <w:rsid w:val="001A0AB9"/>
    <w:rsid w:val="001A5D47"/>
    <w:rsid w:val="001B63D4"/>
    <w:rsid w:val="001C4E73"/>
    <w:rsid w:val="00202A27"/>
    <w:rsid w:val="00257253"/>
    <w:rsid w:val="00272E35"/>
    <w:rsid w:val="0034164F"/>
    <w:rsid w:val="00391469"/>
    <w:rsid w:val="004162AE"/>
    <w:rsid w:val="004714B0"/>
    <w:rsid w:val="0049375B"/>
    <w:rsid w:val="00524F00"/>
    <w:rsid w:val="005F192D"/>
    <w:rsid w:val="00632C35"/>
    <w:rsid w:val="00690182"/>
    <w:rsid w:val="00691F2B"/>
    <w:rsid w:val="006B052E"/>
    <w:rsid w:val="006E3869"/>
    <w:rsid w:val="0073729C"/>
    <w:rsid w:val="007925FC"/>
    <w:rsid w:val="007B479D"/>
    <w:rsid w:val="007D24BF"/>
    <w:rsid w:val="00803F9D"/>
    <w:rsid w:val="008123FC"/>
    <w:rsid w:val="00861C2B"/>
    <w:rsid w:val="0088323E"/>
    <w:rsid w:val="008A0E01"/>
    <w:rsid w:val="008F343B"/>
    <w:rsid w:val="009312AD"/>
    <w:rsid w:val="009803E6"/>
    <w:rsid w:val="009811F7"/>
    <w:rsid w:val="00986FB4"/>
    <w:rsid w:val="00AC61C3"/>
    <w:rsid w:val="00AE1354"/>
    <w:rsid w:val="00B2746C"/>
    <w:rsid w:val="00BE35C1"/>
    <w:rsid w:val="00C16A79"/>
    <w:rsid w:val="00C261AE"/>
    <w:rsid w:val="00C719C3"/>
    <w:rsid w:val="00D05EB8"/>
    <w:rsid w:val="00D11DDE"/>
    <w:rsid w:val="00D452CC"/>
    <w:rsid w:val="00DC4629"/>
    <w:rsid w:val="00E11DEF"/>
    <w:rsid w:val="00E60C0C"/>
    <w:rsid w:val="00E635D6"/>
    <w:rsid w:val="00E96FF9"/>
    <w:rsid w:val="00EA68CB"/>
    <w:rsid w:val="00F01D04"/>
    <w:rsid w:val="00F23054"/>
    <w:rsid w:val="00FC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E7618E"/>
  <w15:docId w15:val="{FC8AB1C3-19EE-4312-B2F8-906ED3F4B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paragraph" w:styleId="Heading4">
    <w:name w:val="heading 4"/>
    <w:basedOn w:val="Normal"/>
    <w:next w:val="Normal"/>
    <w:link w:val="Heading4Char"/>
    <w:uiPriority w:val="9"/>
    <w:semiHidden/>
    <w:unhideWhenUsed/>
    <w:qFormat/>
    <w:locked/>
    <w:rsid w:val="00524F0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uiPriority w:val="99"/>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customStyle="1" w:styleId="Heading4Char">
    <w:name w:val="Heading 4 Char"/>
    <w:basedOn w:val="DefaultParagraphFont"/>
    <w:link w:val="Heading4"/>
    <w:uiPriority w:val="9"/>
    <w:semiHidden/>
    <w:rsid w:val="00524F00"/>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locked/>
    <w:rsid w:val="00524F00"/>
    <w:rPr>
      <w:rFonts w:ascii="Times New Roman" w:hAnsi="Times New Roman"/>
      <w:sz w:val="24"/>
      <w:szCs w:val="24"/>
    </w:rPr>
  </w:style>
  <w:style w:type="character" w:styleId="Emphasis">
    <w:name w:val="Emphasis"/>
    <w:basedOn w:val="DefaultParagraphFont"/>
    <w:uiPriority w:val="20"/>
    <w:qFormat/>
    <w:locked/>
    <w:rsid w:val="00524F00"/>
    <w:rPr>
      <w:i/>
      <w:iCs/>
    </w:rPr>
  </w:style>
  <w:style w:type="character" w:styleId="Strong">
    <w:name w:val="Strong"/>
    <w:basedOn w:val="DefaultParagraphFont"/>
    <w:uiPriority w:val="22"/>
    <w:qFormat/>
    <w:locked/>
    <w:rsid w:val="00524F00"/>
    <w:rPr>
      <w:b/>
      <w:bCs/>
    </w:rPr>
  </w:style>
  <w:style w:type="character" w:styleId="UnresolvedMention">
    <w:name w:val="Unresolved Mention"/>
    <w:basedOn w:val="DefaultParagraphFont"/>
    <w:uiPriority w:val="99"/>
    <w:semiHidden/>
    <w:unhideWhenUsed/>
    <w:rsid w:val="000C1B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1858621191">
      <w:bodyDiv w:val="1"/>
      <w:marLeft w:val="0"/>
      <w:marRight w:val="0"/>
      <w:marTop w:val="0"/>
      <w:marBottom w:val="0"/>
      <w:divBdr>
        <w:top w:val="none" w:sz="0" w:space="0" w:color="auto"/>
        <w:left w:val="none" w:sz="0" w:space="0" w:color="auto"/>
        <w:bottom w:val="none" w:sz="0" w:space="0" w:color="auto"/>
        <w:right w:val="none" w:sz="0" w:space="0" w:color="auto"/>
      </w:divBdr>
      <w:divsChild>
        <w:div w:id="41901566">
          <w:marLeft w:val="0"/>
          <w:marRight w:val="0"/>
          <w:marTop w:val="0"/>
          <w:marBottom w:val="0"/>
          <w:divBdr>
            <w:top w:val="none" w:sz="0" w:space="0" w:color="auto"/>
            <w:left w:val="none" w:sz="0" w:space="0" w:color="auto"/>
            <w:bottom w:val="none" w:sz="0" w:space="0" w:color="auto"/>
            <w:right w:val="none" w:sz="0" w:space="0" w:color="auto"/>
          </w:divBdr>
          <w:divsChild>
            <w:div w:id="1162894308">
              <w:marLeft w:val="0"/>
              <w:marRight w:val="0"/>
              <w:marTop w:val="0"/>
              <w:marBottom w:val="0"/>
              <w:divBdr>
                <w:top w:val="none" w:sz="0" w:space="0" w:color="auto"/>
                <w:left w:val="none" w:sz="0" w:space="0" w:color="auto"/>
                <w:bottom w:val="none" w:sz="0" w:space="0" w:color="auto"/>
                <w:right w:val="none" w:sz="0" w:space="0" w:color="auto"/>
              </w:divBdr>
            </w:div>
            <w:div w:id="1152452855">
              <w:marLeft w:val="0"/>
              <w:marRight w:val="0"/>
              <w:marTop w:val="0"/>
              <w:marBottom w:val="0"/>
              <w:divBdr>
                <w:top w:val="none" w:sz="0" w:space="0" w:color="auto"/>
                <w:left w:val="none" w:sz="0" w:space="0" w:color="auto"/>
                <w:bottom w:val="none" w:sz="0" w:space="0" w:color="auto"/>
                <w:right w:val="none" w:sz="0" w:space="0" w:color="auto"/>
              </w:divBdr>
            </w:div>
            <w:div w:id="2128425435">
              <w:marLeft w:val="0"/>
              <w:marRight w:val="0"/>
              <w:marTop w:val="0"/>
              <w:marBottom w:val="0"/>
              <w:divBdr>
                <w:top w:val="none" w:sz="0" w:space="0" w:color="auto"/>
                <w:left w:val="none" w:sz="0" w:space="0" w:color="auto"/>
                <w:bottom w:val="none" w:sz="0" w:space="0" w:color="auto"/>
                <w:right w:val="none" w:sz="0" w:space="0" w:color="auto"/>
              </w:divBdr>
            </w:div>
            <w:div w:id="1112674851">
              <w:marLeft w:val="0"/>
              <w:marRight w:val="0"/>
              <w:marTop w:val="0"/>
              <w:marBottom w:val="0"/>
              <w:divBdr>
                <w:top w:val="none" w:sz="0" w:space="0" w:color="auto"/>
                <w:left w:val="none" w:sz="0" w:space="0" w:color="auto"/>
                <w:bottom w:val="none" w:sz="0" w:space="0" w:color="auto"/>
                <w:right w:val="none" w:sz="0" w:space="0" w:color="auto"/>
              </w:divBdr>
            </w:div>
            <w:div w:id="157793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cms.gov/Medicare/Medicare-Fee-for-Service-Payment/HospitalOutpatientPPS/Addendum-A-and-Addendum-B-Updates" TargetMode="External"/><Relationship Id="rId4" Type="http://schemas.openxmlformats.org/officeDocument/2006/relationships/customXml" Target="../customXml/item4.xml"/><Relationship Id="rId9" Type="http://schemas.openxmlformats.org/officeDocument/2006/relationships/hyperlink" Target="http://www.cms.gov/Regulations-and-Guidance/Guidance/Manuals/Downloads/clm104c04.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9iw\Desktop\WebDocu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470455-1DF7-4DEC-85DB-4BE6128612CE}">
  <ds:schemaRefs>
    <ds:schemaRef ds:uri="http://schemas.openxmlformats.org/officeDocument/2006/bibliography"/>
  </ds:schemaRefs>
</ds:datastoreItem>
</file>

<file path=customXml/itemProps2.xml><?xml version="1.0" encoding="utf-8"?>
<ds:datastoreItem xmlns:ds="http://schemas.openxmlformats.org/officeDocument/2006/customXml" ds:itemID="{3157BF83-303B-4115-879F-81014B1C9CDF}">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www.w3.org/XML/1998/namespace"/>
  </ds:schemaRefs>
</ds:datastoreItem>
</file>

<file path=customXml/itemProps3.xml><?xml version="1.0" encoding="utf-8"?>
<ds:datastoreItem xmlns:ds="http://schemas.openxmlformats.org/officeDocument/2006/customXml" ds:itemID="{2924E76D-4596-4E93-B2A2-6258D620B2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7AE7141-E45E-4DE2-9A68-CDE421E313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WebDocument.dotx</Template>
  <TotalTime>5</TotalTime>
  <Pages>3</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John Ricords</dc:creator>
  <cp:lastModifiedBy>Keefer, Felecia</cp:lastModifiedBy>
  <cp:revision>2</cp:revision>
  <cp:lastPrinted>2013-08-22T18:47:00Z</cp:lastPrinted>
  <dcterms:created xsi:type="dcterms:W3CDTF">2022-08-16T15:39:00Z</dcterms:created>
  <dcterms:modified xsi:type="dcterms:W3CDTF">2022-08-16T15:39:00Z</dcterms:modified>
</cp:coreProperties>
</file>