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D4AC" w14:textId="760A557B" w:rsidR="008123FC" w:rsidRPr="0005307B" w:rsidRDefault="007420B6" w:rsidP="0005307B">
      <w:pPr>
        <w:pStyle w:val="webheader"/>
      </w:pPr>
      <w:bookmarkStart w:id="0" w:name="content"/>
      <w:r w:rsidRPr="0005307B">
        <w:t xml:space="preserve">Electronic </w:t>
      </w:r>
      <w:r w:rsidR="008C198F">
        <w:t>b</w:t>
      </w:r>
      <w:r w:rsidRPr="0005307B">
        <w:t xml:space="preserve">illing </w:t>
      </w:r>
      <w:r w:rsidR="008C198F">
        <w:t>g</w:t>
      </w:r>
      <w:r w:rsidRPr="0005307B">
        <w:t xml:space="preserve">uide: </w:t>
      </w:r>
      <w:r w:rsidR="00C4322C" w:rsidRPr="0005307B">
        <w:t xml:space="preserve">Chapter </w:t>
      </w:r>
      <w:r w:rsidR="000F4F4F">
        <w:t>7</w:t>
      </w:r>
      <w:r w:rsidR="00C4322C" w:rsidRPr="0005307B">
        <w:t xml:space="preserve"> – </w:t>
      </w:r>
      <w:bookmarkEnd w:id="0"/>
      <w:r w:rsidR="007F72DF">
        <w:t xml:space="preserve">EFT and </w:t>
      </w:r>
      <w:r w:rsidR="008C198F">
        <w:t>c</w:t>
      </w:r>
      <w:r w:rsidR="007F72DF">
        <w:t xml:space="preserve">laim </w:t>
      </w:r>
      <w:r w:rsidR="008C198F">
        <w:t>s</w:t>
      </w:r>
      <w:r w:rsidR="007F72DF">
        <w:t>tatus</w:t>
      </w:r>
    </w:p>
    <w:p w14:paraId="4080D4AD" w14:textId="5B3B78A8" w:rsidR="00C4322C" w:rsidRPr="0005307B" w:rsidRDefault="000F4F4F" w:rsidP="0005307B">
      <w:pPr>
        <w:pStyle w:val="webheader2"/>
      </w:pPr>
      <w:bookmarkStart w:id="1" w:name="1"/>
      <w:r>
        <w:t>7</w:t>
      </w:r>
      <w:r w:rsidR="00C4322C" w:rsidRPr="0005307B">
        <w:t xml:space="preserve">.1 - </w:t>
      </w:r>
      <w:r w:rsidR="00C37DA8" w:rsidRPr="0005307B">
        <w:t xml:space="preserve">Electronic </w:t>
      </w:r>
      <w:r w:rsidR="008C198F">
        <w:t>f</w:t>
      </w:r>
      <w:r w:rsidR="00C37DA8" w:rsidRPr="0005307B">
        <w:t xml:space="preserve">unds </w:t>
      </w:r>
      <w:r w:rsidR="008C198F">
        <w:t>t</w:t>
      </w:r>
      <w:r w:rsidR="00C37DA8" w:rsidRPr="0005307B">
        <w:t>ransfer</w:t>
      </w:r>
      <w:bookmarkEnd w:id="1"/>
      <w:r w:rsidR="00D775A7" w:rsidRPr="0005307B">
        <w:t xml:space="preserve"> (EFT)</w:t>
      </w:r>
    </w:p>
    <w:p w14:paraId="4080D4AE" w14:textId="77777777" w:rsidR="00C4322C" w:rsidRPr="0005307B" w:rsidRDefault="00C4322C" w:rsidP="0005307B">
      <w:pPr>
        <w:pStyle w:val="webnormal"/>
      </w:pPr>
      <w:r w:rsidRPr="0005307B">
        <w:t>EFT is the quick and easy way to have Medicare payments deposited directly into your bank account. It eliminates paperwork and saves time by reducing routine banking.</w:t>
      </w:r>
    </w:p>
    <w:p w14:paraId="4080D4AF" w14:textId="6775B951" w:rsidR="00C4322C" w:rsidRPr="0005307B" w:rsidRDefault="00D775A7" w:rsidP="0005307B">
      <w:pPr>
        <w:pStyle w:val="webnormal"/>
      </w:pPr>
      <w:r w:rsidRPr="0005307B">
        <w:t xml:space="preserve">CMS </w:t>
      </w:r>
      <w:r w:rsidR="00C4322C" w:rsidRPr="0005307B">
        <w:t>require that all providers/suppliers enrolling in Medicare or making changes to their enrollment file use EFT.</w:t>
      </w:r>
    </w:p>
    <w:p w14:paraId="4080D4B0" w14:textId="517BAF85" w:rsidR="00C4322C" w:rsidRPr="0005307B" w:rsidRDefault="00C4322C" w:rsidP="0005307B">
      <w:pPr>
        <w:pStyle w:val="webnormal"/>
      </w:pPr>
      <w:r w:rsidRPr="0005307B">
        <w:t>The EFT Authorization Agreement (Form CMS-588) and a </w:t>
      </w:r>
      <w:hyperlink r:id="rId8" w:history="1">
        <w:r w:rsidRPr="0005307B">
          <w:rPr>
            <w:rStyle w:val="Hyperlink"/>
          </w:rPr>
          <w:t>form completion tutorial</w:t>
        </w:r>
      </w:hyperlink>
      <w:r w:rsidRPr="0005307B">
        <w:t> is available on the Novitas Solutions Enrollment Center</w:t>
      </w:r>
      <w:r w:rsidR="00AC1357">
        <w:t xml:space="preserve"> </w:t>
      </w:r>
      <w:r w:rsidR="00AC1357" w:rsidRPr="0005307B">
        <w:t>(</w:t>
      </w:r>
      <w:hyperlink r:id="rId9" w:history="1">
        <w:r w:rsidR="00AC1357" w:rsidRPr="0005307B">
          <w:rPr>
            <w:rStyle w:val="Hyperlink"/>
          </w:rPr>
          <w:t>JH</w:t>
        </w:r>
      </w:hyperlink>
      <w:r w:rsidR="00AC1357" w:rsidRPr="0005307B">
        <w:t>)</w:t>
      </w:r>
      <w:r w:rsidR="00717B5E" w:rsidRPr="0005307B">
        <w:t xml:space="preserve"> (</w:t>
      </w:r>
      <w:hyperlink r:id="rId10" w:history="1">
        <w:r w:rsidR="00717B5E" w:rsidRPr="0005307B">
          <w:rPr>
            <w:rStyle w:val="Hyperlink"/>
          </w:rPr>
          <w:t>JL</w:t>
        </w:r>
      </w:hyperlink>
      <w:r w:rsidR="00717B5E" w:rsidRPr="0005307B">
        <w:t>)</w:t>
      </w:r>
      <w:r w:rsidRPr="0005307B">
        <w:t>. </w:t>
      </w:r>
    </w:p>
    <w:p w14:paraId="4080D4B1" w14:textId="77777777" w:rsidR="00C4322C" w:rsidRPr="0005307B" w:rsidRDefault="00C4322C" w:rsidP="0005307B">
      <w:pPr>
        <w:pStyle w:val="webnormal"/>
      </w:pPr>
      <w:r w:rsidRPr="0005307B">
        <w:rPr>
          <w:rStyle w:val="webbold"/>
        </w:rPr>
        <w:t>Note: </w:t>
      </w:r>
      <w:r w:rsidRPr="0005307B">
        <w:t>EFT is available to both paper and electronic billers.</w:t>
      </w:r>
    </w:p>
    <w:p w14:paraId="4080D4B2" w14:textId="3095A6E1" w:rsidR="00C4322C" w:rsidRPr="0005307B" w:rsidRDefault="000F4F4F" w:rsidP="0005307B">
      <w:pPr>
        <w:pStyle w:val="webheader2"/>
      </w:pPr>
      <w:bookmarkStart w:id="2" w:name="2"/>
      <w:r>
        <w:t>7</w:t>
      </w:r>
      <w:r w:rsidR="00C4322C" w:rsidRPr="0005307B">
        <w:t xml:space="preserve">.2 - Claim </w:t>
      </w:r>
      <w:r w:rsidR="008C198F">
        <w:t>s</w:t>
      </w:r>
      <w:r w:rsidR="00C4322C" w:rsidRPr="0005307B">
        <w:t xml:space="preserve">tatus </w:t>
      </w:r>
      <w:r w:rsidR="008C198F">
        <w:t>i</w:t>
      </w:r>
      <w:r w:rsidR="00C4322C" w:rsidRPr="0005307B">
        <w:t xml:space="preserve">nquiry and </w:t>
      </w:r>
      <w:r w:rsidR="008C198F">
        <w:t>r</w:t>
      </w:r>
      <w:r w:rsidR="00C4322C" w:rsidRPr="0005307B">
        <w:t>esponse (276/277)</w:t>
      </w:r>
      <w:bookmarkEnd w:id="2"/>
    </w:p>
    <w:p w14:paraId="4080D4B3" w14:textId="375352E2" w:rsidR="00C4322C" w:rsidRPr="0005307B" w:rsidRDefault="00C4322C" w:rsidP="0005307B">
      <w:pPr>
        <w:pStyle w:val="webnormal"/>
      </w:pPr>
      <w:r w:rsidRPr="0005307B">
        <w:t>Novitas Solutions EDI supports America</w:t>
      </w:r>
      <w:r w:rsidR="00C37DA8" w:rsidRPr="0005307B">
        <w:t>n National Standards Institute</w:t>
      </w:r>
      <w:r w:rsidR="00D775A7" w:rsidRPr="0005307B">
        <w:t xml:space="preserve"> (ANSI)</w:t>
      </w:r>
      <w:r w:rsidRPr="0005307B">
        <w:t xml:space="preserve"> </w:t>
      </w:r>
      <w:r w:rsidR="00C37DA8" w:rsidRPr="0005307B">
        <w:t>Accredited Standards Committee</w:t>
      </w:r>
      <w:r w:rsidR="00D775A7" w:rsidRPr="0005307B">
        <w:t xml:space="preserve"> (ASC)</w:t>
      </w:r>
      <w:r w:rsidR="00C37DA8" w:rsidRPr="0005307B">
        <w:t xml:space="preserve"> </w:t>
      </w:r>
      <w:r w:rsidR="00F14CE1">
        <w:t xml:space="preserve">Technical Report 3 (TR3) </w:t>
      </w:r>
      <w:r w:rsidRPr="0005307B">
        <w:t xml:space="preserve">X12N </w:t>
      </w:r>
      <w:r w:rsidR="00D66302" w:rsidRPr="0005307B">
        <w:t xml:space="preserve">276/277 transaction set. </w:t>
      </w:r>
      <w:r w:rsidRPr="0005307B">
        <w:t>This transaction set allows you to submit Medicare Part B claim status inquiries in a batch mode, and receive an electronic claim status response from Novitas Solutions the next day.</w:t>
      </w:r>
    </w:p>
    <w:p w14:paraId="727BF78A" w14:textId="0673092A" w:rsidR="00AC1357" w:rsidRDefault="00C4322C" w:rsidP="0005307B">
      <w:pPr>
        <w:pStyle w:val="webnormal"/>
      </w:pPr>
      <w:r w:rsidRPr="0005307B">
        <w:t xml:space="preserve">The ANSI ASC </w:t>
      </w:r>
      <w:r w:rsidR="00F14CE1">
        <w:t xml:space="preserve">TR3 </w:t>
      </w:r>
      <w:r w:rsidRPr="0005307B">
        <w:t xml:space="preserve">X12N 276/277 implementation guides can be downloaded, for a fee, from </w:t>
      </w:r>
      <w:r w:rsidR="007F72DF">
        <w:t xml:space="preserve">the </w:t>
      </w:r>
      <w:hyperlink r:id="rId11" w:history="1">
        <w:r w:rsidR="00F14CE1" w:rsidRPr="00F14CE1">
          <w:rPr>
            <w:rStyle w:val="Hyperlink"/>
          </w:rPr>
          <w:t>X12</w:t>
        </w:r>
        <w:r w:rsidR="007F72DF" w:rsidRPr="00F14CE1">
          <w:rPr>
            <w:rStyle w:val="Hyperlink"/>
          </w:rPr>
          <w:t xml:space="preserve"> website</w:t>
        </w:r>
      </w:hyperlink>
      <w:r w:rsidR="007F72DF">
        <w:t>.</w:t>
      </w:r>
      <w:r w:rsidRPr="0005307B">
        <w:t> </w:t>
      </w:r>
      <w:bookmarkStart w:id="3" w:name="_Hlk115159679"/>
      <w:r w:rsidR="00AC1357">
        <w:t>See the Standard Companion Guide Health Care Claim: Status Request and Response (276/277) (</w:t>
      </w:r>
      <w:hyperlink r:id="rId12" w:history="1">
        <w:r w:rsidR="00AC1357" w:rsidRPr="00AC1357">
          <w:rPr>
            <w:rStyle w:val="Hyperlink"/>
          </w:rPr>
          <w:t>JH</w:t>
        </w:r>
      </w:hyperlink>
      <w:r w:rsidR="00AC1357">
        <w:t>) (</w:t>
      </w:r>
      <w:hyperlink r:id="rId13" w:history="1">
        <w:r w:rsidR="00AC1357" w:rsidRPr="00AC1357">
          <w:rPr>
            <w:rStyle w:val="Hyperlink"/>
          </w:rPr>
          <w:t>JL</w:t>
        </w:r>
      </w:hyperlink>
      <w:r w:rsidR="00AC1357">
        <w:t xml:space="preserve">) guide for assistance with setting up the transaction. </w:t>
      </w:r>
    </w:p>
    <w:bookmarkEnd w:id="3"/>
    <w:p w14:paraId="4080D4B4" w14:textId="7D63A348" w:rsidR="00C4322C" w:rsidRPr="0005307B" w:rsidRDefault="00C4322C" w:rsidP="0005307B">
      <w:pPr>
        <w:pStyle w:val="webnormal"/>
      </w:pPr>
      <w:r w:rsidRPr="0005307B">
        <w:t>Providers who prefer to obtain claim status data in an EDI format but do not have software that supports these transactions, may contract with a clearinghouse to transmit the information on their behalf. However, be aware that you will be charged a fee by the clearinghouse for this service.</w:t>
      </w:r>
      <w:r w:rsidR="00D66302" w:rsidRPr="0005307B">
        <w:t xml:space="preserve">  Providers may also receive claim status</w:t>
      </w:r>
      <w:r w:rsidR="007F72DF">
        <w:t xml:space="preserve"> on individual claims immediately</w:t>
      </w:r>
      <w:r w:rsidR="00D66302" w:rsidRPr="0005307B">
        <w:t xml:space="preserve"> using Novitasphere, Novitas Solutions free web-based portal.</w:t>
      </w:r>
    </w:p>
    <w:p w14:paraId="4080D4B5" w14:textId="7F325EED" w:rsidR="00C4322C" w:rsidRPr="0005307B" w:rsidRDefault="00C4322C" w:rsidP="0005307B">
      <w:pPr>
        <w:pStyle w:val="webnormal"/>
      </w:pPr>
      <w:r w:rsidRPr="0005307B">
        <w:t xml:space="preserve">Providers, agents, and clearinghouses are not required to test the 276/277 transaction set prior to its use. However, users are required to </w:t>
      </w:r>
      <w:r w:rsidR="0005307B" w:rsidRPr="0005307B">
        <w:t xml:space="preserve">enroll for the transaction prior to use. Providers who have a Clearinghouse or billing service check status on their behalf must be linked to the Clearinghouse or billing service's Submitter ID. </w:t>
      </w:r>
      <w:r w:rsidRPr="0005307B">
        <w:t xml:space="preserve">If you do plan to test, you must contact the Novitas Solutions </w:t>
      </w:r>
      <w:r w:rsidRPr="002B25F1">
        <w:t xml:space="preserve">EDI </w:t>
      </w:r>
      <w:r w:rsidR="008C198F">
        <w:t>h</w:t>
      </w:r>
      <w:r w:rsidRPr="002B25F1">
        <w:t xml:space="preserve">elp </w:t>
      </w:r>
      <w:r w:rsidR="008C198F">
        <w:t>d</w:t>
      </w:r>
      <w:r w:rsidRPr="002B25F1">
        <w:t>esk</w:t>
      </w:r>
      <w:r w:rsidRPr="0005307B">
        <w:t xml:space="preserve"> </w:t>
      </w:r>
      <w:r w:rsidR="00AC1357" w:rsidRPr="002B25F1">
        <w:t>(</w:t>
      </w:r>
      <w:hyperlink r:id="rId14" w:history="1">
        <w:r w:rsidR="00AC1357" w:rsidRPr="002B25F1">
          <w:rPr>
            <w:rStyle w:val="Hyperlink"/>
          </w:rPr>
          <w:t>JH</w:t>
        </w:r>
      </w:hyperlink>
      <w:r w:rsidR="00AC1357" w:rsidRPr="002B25F1">
        <w:t>)</w:t>
      </w:r>
      <w:r w:rsidR="00AC1357">
        <w:t xml:space="preserve"> </w:t>
      </w:r>
      <w:r w:rsidR="002B25F1" w:rsidRPr="002B25F1">
        <w:t>(</w:t>
      </w:r>
      <w:hyperlink r:id="rId15" w:history="1">
        <w:r w:rsidR="002B25F1" w:rsidRPr="002B25F1">
          <w:rPr>
            <w:rStyle w:val="Hyperlink"/>
          </w:rPr>
          <w:t>JL</w:t>
        </w:r>
      </w:hyperlink>
      <w:r w:rsidR="002B25F1" w:rsidRPr="002B25F1">
        <w:t>)</w:t>
      </w:r>
      <w:r w:rsidR="002B25F1">
        <w:t xml:space="preserve"> </w:t>
      </w:r>
      <w:r w:rsidRPr="0005307B">
        <w:t>to schedule a testing date.</w:t>
      </w:r>
    </w:p>
    <w:p w14:paraId="4080D4B6" w14:textId="71781CF4" w:rsidR="00C4322C" w:rsidRPr="0005307B" w:rsidRDefault="00C4322C" w:rsidP="0005307B">
      <w:pPr>
        <w:pStyle w:val="webnormal"/>
      </w:pPr>
      <w:r w:rsidRPr="0005307B">
        <w:t xml:space="preserve">All electronic claim status inquiries and responses must be transmitted in </w:t>
      </w:r>
      <w:r w:rsidR="00D66302" w:rsidRPr="0005307B">
        <w:t>the most current ANSI</w:t>
      </w:r>
      <w:r w:rsidR="009175A5" w:rsidRPr="0005307B">
        <w:t xml:space="preserve"> version</w:t>
      </w:r>
      <w:r w:rsidRPr="0005307B">
        <w:t>. All other electronic claim status formats and versions will be discontinued. This does not include claim status requests via the </w:t>
      </w:r>
      <w:r w:rsidR="008C198F">
        <w:t>i</w:t>
      </w:r>
      <w:r w:rsidR="00C37DA8" w:rsidRPr="0005307B">
        <w:t xml:space="preserve">nteractive </w:t>
      </w:r>
      <w:r w:rsidR="008C198F">
        <w:t>v</w:t>
      </w:r>
      <w:r w:rsidR="00C37DA8" w:rsidRPr="0005307B">
        <w:t xml:space="preserve">oice </w:t>
      </w:r>
      <w:r w:rsidR="008C198F">
        <w:t>r</w:t>
      </w:r>
      <w:r w:rsidR="00C37DA8" w:rsidRPr="0005307B">
        <w:t>esponse</w:t>
      </w:r>
      <w:r w:rsidRPr="0005307B">
        <w:t xml:space="preserve"> </w:t>
      </w:r>
      <w:r w:rsidR="00D775A7" w:rsidRPr="0005307B">
        <w:t xml:space="preserve">(IVR) </w:t>
      </w:r>
      <w:r w:rsidR="008C198F">
        <w:t>u</w:t>
      </w:r>
      <w:r w:rsidRPr="0005307B">
        <w:t>nit, an IVR fax of pending and finalized claims, or customer service telephone lines. These inquiries remain toll free.</w:t>
      </w:r>
    </w:p>
    <w:sectPr w:rsidR="00C4322C" w:rsidRPr="0005307B" w:rsidSect="00691F2B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8431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6E39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9A1A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EC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C8B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C4A5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33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10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020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1EA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109EF"/>
    <w:multiLevelType w:val="hybridMultilevel"/>
    <w:tmpl w:val="1840C552"/>
    <w:lvl w:ilvl="0" w:tplc="2D243406">
      <w:start w:val="1"/>
      <w:numFmt w:val="decimal"/>
      <w:pStyle w:val="webnumbered2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D5D4D2D"/>
    <w:multiLevelType w:val="hybridMultilevel"/>
    <w:tmpl w:val="8C44B502"/>
    <w:lvl w:ilvl="0" w:tplc="04090001">
      <w:start w:val="1"/>
      <w:numFmt w:val="bullet"/>
      <w:pStyle w:val="web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75D1B"/>
    <w:multiLevelType w:val="multilevel"/>
    <w:tmpl w:val="2718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562603"/>
    <w:multiLevelType w:val="hybridMultilevel"/>
    <w:tmpl w:val="D98A243E"/>
    <w:lvl w:ilvl="0" w:tplc="F10E4C4E">
      <w:start w:val="1"/>
      <w:numFmt w:val="bullet"/>
      <w:pStyle w:val="web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C57D6"/>
    <w:multiLevelType w:val="hybridMultilevel"/>
    <w:tmpl w:val="B8A63188"/>
    <w:lvl w:ilvl="0" w:tplc="7ADCE55C">
      <w:start w:val="1"/>
      <w:numFmt w:val="decimal"/>
      <w:pStyle w:val="webnumbered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945980"/>
    <w:multiLevelType w:val="hybridMultilevel"/>
    <w:tmpl w:val="7CD0AFAA"/>
    <w:lvl w:ilvl="0" w:tplc="4DA40C2E">
      <w:start w:val="1"/>
      <w:numFmt w:val="decimal"/>
      <w:pStyle w:val="webnumbered3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4435F9"/>
    <w:multiLevelType w:val="hybridMultilevel"/>
    <w:tmpl w:val="BF967C1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722A5"/>
    <w:multiLevelType w:val="hybridMultilevel"/>
    <w:tmpl w:val="0B4CB584"/>
    <w:lvl w:ilvl="0" w:tplc="FEA6ADEA">
      <w:start w:val="1"/>
      <w:numFmt w:val="bullet"/>
      <w:pStyle w:val="web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4361246">
    <w:abstractNumId w:val="11"/>
  </w:num>
  <w:num w:numId="2" w16cid:durableId="399600097">
    <w:abstractNumId w:val="14"/>
  </w:num>
  <w:num w:numId="3" w16cid:durableId="1896431588">
    <w:abstractNumId w:val="10"/>
  </w:num>
  <w:num w:numId="4" w16cid:durableId="1549806445">
    <w:abstractNumId w:val="17"/>
  </w:num>
  <w:num w:numId="5" w16cid:durableId="1047947602">
    <w:abstractNumId w:val="13"/>
  </w:num>
  <w:num w:numId="6" w16cid:durableId="1663316402">
    <w:abstractNumId w:val="15"/>
  </w:num>
  <w:num w:numId="7" w16cid:durableId="234705400">
    <w:abstractNumId w:val="13"/>
  </w:num>
  <w:num w:numId="8" w16cid:durableId="1257130257">
    <w:abstractNumId w:val="17"/>
  </w:num>
  <w:num w:numId="9" w16cid:durableId="11957751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23191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9775486">
    <w:abstractNumId w:val="11"/>
  </w:num>
  <w:num w:numId="12" w16cid:durableId="3689203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9359301">
    <w:abstractNumId w:val="9"/>
  </w:num>
  <w:num w:numId="14" w16cid:durableId="1526290043">
    <w:abstractNumId w:val="7"/>
  </w:num>
  <w:num w:numId="15" w16cid:durableId="510340740">
    <w:abstractNumId w:val="6"/>
  </w:num>
  <w:num w:numId="16" w16cid:durableId="1225750766">
    <w:abstractNumId w:val="5"/>
  </w:num>
  <w:num w:numId="17" w16cid:durableId="297223095">
    <w:abstractNumId w:val="4"/>
  </w:num>
  <w:num w:numId="18" w16cid:durableId="1145200994">
    <w:abstractNumId w:val="8"/>
  </w:num>
  <w:num w:numId="19" w16cid:durableId="1286739648">
    <w:abstractNumId w:val="3"/>
  </w:num>
  <w:num w:numId="20" w16cid:durableId="1789278667">
    <w:abstractNumId w:val="2"/>
  </w:num>
  <w:num w:numId="21" w16cid:durableId="584920996">
    <w:abstractNumId w:val="1"/>
  </w:num>
  <w:num w:numId="22" w16cid:durableId="793981845">
    <w:abstractNumId w:val="0"/>
  </w:num>
  <w:num w:numId="23" w16cid:durableId="1369797806">
    <w:abstractNumId w:val="16"/>
  </w:num>
  <w:num w:numId="24" w16cid:durableId="1243031456">
    <w:abstractNumId w:val="12"/>
  </w:num>
  <w:num w:numId="25" w16cid:durableId="569996435">
    <w:abstractNumId w:val="14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formatting="1" w:enforcement="1"/>
  <w:defaultTabStop w:val="720"/>
  <w:clickAndTypeStyle w:val="webcomment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2C"/>
    <w:rsid w:val="0005307B"/>
    <w:rsid w:val="000C1D4A"/>
    <w:rsid w:val="000F4F4F"/>
    <w:rsid w:val="00130DF9"/>
    <w:rsid w:val="00145DCD"/>
    <w:rsid w:val="00157BBA"/>
    <w:rsid w:val="001A0AB9"/>
    <w:rsid w:val="001C4E73"/>
    <w:rsid w:val="00202A27"/>
    <w:rsid w:val="00272E35"/>
    <w:rsid w:val="002B25F1"/>
    <w:rsid w:val="00391469"/>
    <w:rsid w:val="004162AE"/>
    <w:rsid w:val="00452FA6"/>
    <w:rsid w:val="004714B0"/>
    <w:rsid w:val="0049375B"/>
    <w:rsid w:val="004D3F80"/>
    <w:rsid w:val="00632C35"/>
    <w:rsid w:val="00690182"/>
    <w:rsid w:val="00691F2B"/>
    <w:rsid w:val="006E3869"/>
    <w:rsid w:val="00717B5E"/>
    <w:rsid w:val="0073729C"/>
    <w:rsid w:val="007420B6"/>
    <w:rsid w:val="007925FC"/>
    <w:rsid w:val="007B479D"/>
    <w:rsid w:val="007D24BF"/>
    <w:rsid w:val="007F72DF"/>
    <w:rsid w:val="00803F9D"/>
    <w:rsid w:val="008123FC"/>
    <w:rsid w:val="00834F03"/>
    <w:rsid w:val="00835093"/>
    <w:rsid w:val="00861C2B"/>
    <w:rsid w:val="0088323E"/>
    <w:rsid w:val="008A0E01"/>
    <w:rsid w:val="008C198F"/>
    <w:rsid w:val="008F343B"/>
    <w:rsid w:val="008F5B08"/>
    <w:rsid w:val="009175A5"/>
    <w:rsid w:val="009312AD"/>
    <w:rsid w:val="009811F7"/>
    <w:rsid w:val="00986FB4"/>
    <w:rsid w:val="00AC1357"/>
    <w:rsid w:val="00B2746C"/>
    <w:rsid w:val="00BE35C1"/>
    <w:rsid w:val="00C16A79"/>
    <w:rsid w:val="00C261AE"/>
    <w:rsid w:val="00C37DA8"/>
    <w:rsid w:val="00C4322C"/>
    <w:rsid w:val="00C719C3"/>
    <w:rsid w:val="00D05EB8"/>
    <w:rsid w:val="00D11DDE"/>
    <w:rsid w:val="00D66302"/>
    <w:rsid w:val="00D775A7"/>
    <w:rsid w:val="00E60C0C"/>
    <w:rsid w:val="00E635D6"/>
    <w:rsid w:val="00EA68CB"/>
    <w:rsid w:val="00F14CE1"/>
    <w:rsid w:val="00F23054"/>
    <w:rsid w:val="00FC3EBB"/>
    <w:rsid w:val="00FC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0D4AC"/>
  <w15:docId w15:val="{B6C7A088-9377-473C-A1AE-A5A43B9F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02A27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C432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semiHidden/>
    <w:locked/>
    <w:rPr>
      <w:rFonts w:ascii="Arial" w:hAnsi="Arial"/>
      <w:color w:val="6699CC"/>
      <w:u w:val="none"/>
    </w:rPr>
  </w:style>
  <w:style w:type="character" w:styleId="Hyperlink">
    <w:name w:val="Hyperlink"/>
    <w:basedOn w:val="DefaultParagraphFont"/>
    <w:uiPriority w:val="99"/>
    <w:rsid w:val="00202A27"/>
    <w:rPr>
      <w:rFonts w:ascii="Arial" w:hAnsi="Arial"/>
      <w:color w:val="0000FF"/>
      <w:u w:val="none"/>
    </w:rPr>
  </w:style>
  <w:style w:type="character" w:customStyle="1" w:styleId="webbold">
    <w:name w:val="web_bold"/>
    <w:rPr>
      <w:rFonts w:ascii="Arial" w:hAnsi="Arial"/>
      <w:b/>
    </w:rPr>
  </w:style>
  <w:style w:type="character" w:customStyle="1" w:styleId="webboldred">
    <w:name w:val="web_bold_red"/>
    <w:basedOn w:val="DefaultParagraphFont"/>
    <w:rPr>
      <w:rFonts w:ascii="Arial" w:hAnsi="Arial"/>
      <w:b/>
      <w:color w:val="FF0000"/>
    </w:rPr>
  </w:style>
  <w:style w:type="paragraph" w:customStyle="1" w:styleId="webcode2">
    <w:name w:val="web_code_2"/>
    <w:basedOn w:val="webcode1"/>
    <w:qFormat/>
    <w:rsid w:val="00272E35"/>
  </w:style>
  <w:style w:type="paragraph" w:customStyle="1" w:styleId="webcenter">
    <w:name w:val="web_center"/>
    <w:basedOn w:val="webnormal"/>
    <w:pPr>
      <w:jc w:val="center"/>
    </w:pPr>
  </w:style>
  <w:style w:type="paragraph" w:customStyle="1" w:styleId="webcode3">
    <w:name w:val="web_code_3"/>
    <w:basedOn w:val="webcode2"/>
    <w:qFormat/>
    <w:rsid w:val="00272E35"/>
  </w:style>
  <w:style w:type="paragraph" w:customStyle="1" w:styleId="webcomment">
    <w:name w:val="web_comment"/>
    <w:basedOn w:val="webnormal"/>
  </w:style>
  <w:style w:type="paragraph" w:customStyle="1" w:styleId="webheader">
    <w:name w:val="web_header"/>
    <w:basedOn w:val="webnormal"/>
    <w:next w:val="webnormal"/>
    <w:qFormat/>
    <w:rsid w:val="00272E35"/>
    <w:rPr>
      <w:rFonts w:ascii="Verdana" w:hAnsi="Verdana"/>
      <w:b/>
      <w:sz w:val="36"/>
    </w:rPr>
  </w:style>
  <w:style w:type="character" w:customStyle="1" w:styleId="webitalics">
    <w:name w:val="web_italics"/>
    <w:rsid w:val="00130DF9"/>
    <w:rPr>
      <w:rFonts w:ascii="Arial" w:hAnsi="Arial"/>
      <w:i/>
      <w:szCs w:val="20"/>
    </w:rPr>
  </w:style>
  <w:style w:type="paragraph" w:customStyle="1" w:styleId="webwraprightimage">
    <w:name w:val="web_wrap_right_image"/>
    <w:basedOn w:val="webnormal"/>
    <w:rsid w:val="00F23054"/>
  </w:style>
  <w:style w:type="paragraph" w:customStyle="1" w:styleId="webwrapleftimage">
    <w:name w:val="web_wrap_left_image"/>
    <w:basedOn w:val="webnormal"/>
    <w:rsid w:val="00F23054"/>
  </w:style>
  <w:style w:type="paragraph" w:customStyle="1" w:styleId="webcode1">
    <w:name w:val="web_code_1"/>
    <w:basedOn w:val="webnormal"/>
    <w:rPr>
      <w:b/>
      <w:color w:val="FF00FF"/>
    </w:rPr>
  </w:style>
  <w:style w:type="paragraph" w:customStyle="1" w:styleId="webnormal">
    <w:name w:val="web_normal"/>
    <w:qFormat/>
    <w:pPr>
      <w:spacing w:before="120" w:after="120"/>
    </w:pPr>
    <w:rPr>
      <w:rFonts w:ascii="Arial" w:hAnsi="Arial"/>
      <w:sz w:val="24"/>
      <w:szCs w:val="24"/>
    </w:rPr>
  </w:style>
  <w:style w:type="paragraph" w:customStyle="1" w:styleId="webright">
    <w:name w:val="web_right"/>
    <w:basedOn w:val="webnormal"/>
    <w:pPr>
      <w:jc w:val="right"/>
    </w:pPr>
  </w:style>
  <w:style w:type="paragraph" w:customStyle="1" w:styleId="webindent2">
    <w:name w:val="web_indent_2"/>
    <w:basedOn w:val="webindent1"/>
    <w:pPr>
      <w:ind w:left="1152"/>
    </w:pPr>
  </w:style>
  <w:style w:type="paragraph" w:customStyle="1" w:styleId="webseparator">
    <w:name w:val="web_separator"/>
    <w:basedOn w:val="webnormal"/>
    <w:next w:val="webnormal"/>
    <w:rsid w:val="00391469"/>
    <w:pPr>
      <w:pBdr>
        <w:bottom w:val="single" w:sz="12" w:space="0" w:color="808080"/>
      </w:pBdr>
      <w:spacing w:before="0" w:after="240"/>
    </w:pPr>
    <w:rPr>
      <w:color w:val="FF00FF"/>
    </w:rPr>
  </w:style>
  <w:style w:type="paragraph" w:customStyle="1" w:styleId="websmall">
    <w:name w:val="web_small"/>
    <w:basedOn w:val="webnormal"/>
    <w:rPr>
      <w:sz w:val="16"/>
    </w:rPr>
  </w:style>
  <w:style w:type="paragraph" w:customStyle="1" w:styleId="websource">
    <w:name w:val="web_source"/>
    <w:basedOn w:val="webnormal"/>
    <w:pPr>
      <w:jc w:val="right"/>
    </w:pPr>
    <w:rPr>
      <w:i/>
      <w:szCs w:val="20"/>
    </w:rPr>
  </w:style>
  <w:style w:type="paragraph" w:customStyle="1" w:styleId="webbullet3">
    <w:name w:val="web_bullet_3"/>
    <w:basedOn w:val="webnormal"/>
    <w:rsid w:val="00861C2B"/>
    <w:pPr>
      <w:numPr>
        <w:numId w:val="5"/>
      </w:numPr>
    </w:pPr>
  </w:style>
  <w:style w:type="paragraph" w:customStyle="1" w:styleId="webbullet2">
    <w:name w:val="web_bullet_2"/>
    <w:basedOn w:val="webnormal"/>
    <w:pPr>
      <w:numPr>
        <w:numId w:val="4"/>
      </w:numPr>
    </w:pPr>
  </w:style>
  <w:style w:type="paragraph" w:customStyle="1" w:styleId="webnumbered2">
    <w:name w:val="web_numbered_2"/>
    <w:basedOn w:val="webnumbered1"/>
    <w:pPr>
      <w:numPr>
        <w:numId w:val="3"/>
      </w:numPr>
      <w:tabs>
        <w:tab w:val="clear" w:pos="1440"/>
        <w:tab w:val="left" w:pos="720"/>
      </w:tabs>
      <w:ind w:left="1080"/>
    </w:pPr>
  </w:style>
  <w:style w:type="paragraph" w:customStyle="1" w:styleId="webindent3">
    <w:name w:val="web_indent_3"/>
    <w:basedOn w:val="webindent2"/>
    <w:pPr>
      <w:ind w:left="1440"/>
    </w:pPr>
  </w:style>
  <w:style w:type="paragraph" w:customStyle="1" w:styleId="webnumbered3">
    <w:name w:val="web_numbered_3"/>
    <w:basedOn w:val="webnumbered2"/>
    <w:pPr>
      <w:numPr>
        <w:numId w:val="6"/>
      </w:numPr>
      <w:ind w:left="1440"/>
    </w:pPr>
  </w:style>
  <w:style w:type="paragraph" w:customStyle="1" w:styleId="webbullet1">
    <w:name w:val="web_bullet_1"/>
    <w:basedOn w:val="webnormal"/>
    <w:pPr>
      <w:numPr>
        <w:numId w:val="1"/>
      </w:numPr>
    </w:pPr>
  </w:style>
  <w:style w:type="paragraph" w:customStyle="1" w:styleId="webindent1">
    <w:name w:val="web_indent_1"/>
    <w:basedOn w:val="webnormal"/>
    <w:pPr>
      <w:ind w:left="720"/>
    </w:pPr>
  </w:style>
  <w:style w:type="paragraph" w:customStyle="1" w:styleId="webnumbered1">
    <w:name w:val="web_numbered_1"/>
    <w:basedOn w:val="webnormal"/>
    <w:pPr>
      <w:numPr>
        <w:numId w:val="2"/>
      </w:numPr>
    </w:pPr>
  </w:style>
  <w:style w:type="paragraph" w:customStyle="1" w:styleId="webheader2">
    <w:name w:val="web_header_2"/>
    <w:basedOn w:val="webheader"/>
    <w:next w:val="webnormal"/>
    <w:qFormat/>
    <w:pPr>
      <w:spacing w:before="100"/>
    </w:pPr>
    <w:rPr>
      <w:sz w:val="32"/>
      <w:szCs w:val="20"/>
    </w:rPr>
  </w:style>
  <w:style w:type="paragraph" w:customStyle="1" w:styleId="webheader3">
    <w:name w:val="web_header_3"/>
    <w:basedOn w:val="webheader2"/>
    <w:rPr>
      <w:sz w:val="28"/>
    </w:rPr>
  </w:style>
  <w:style w:type="paragraph" w:customStyle="1" w:styleId="webheader4">
    <w:name w:val="web_header_4"/>
    <w:basedOn w:val="webheader3"/>
    <w:rPr>
      <w:sz w:val="24"/>
      <w:szCs w:val="24"/>
    </w:rPr>
  </w:style>
  <w:style w:type="table" w:styleId="TableGrid">
    <w:name w:val="Table Grid"/>
    <w:basedOn w:val="TableNormal"/>
    <w:uiPriority w:val="59"/>
    <w:locked/>
    <w:rsid w:val="0069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image">
    <w:name w:val="web_image"/>
    <w:basedOn w:val="webnormal"/>
    <w:next w:val="webnormal"/>
    <w:qFormat/>
    <w:rsid w:val="00B2746C"/>
  </w:style>
  <w:style w:type="paragraph" w:customStyle="1" w:styleId="webcaption">
    <w:name w:val="web_caption"/>
    <w:basedOn w:val="webnormal"/>
    <w:next w:val="webimage"/>
    <w:qFormat/>
    <w:rsid w:val="00B2746C"/>
  </w:style>
  <w:style w:type="character" w:customStyle="1" w:styleId="webbolditalic">
    <w:name w:val="web_bold_italic"/>
    <w:basedOn w:val="webbold"/>
    <w:uiPriority w:val="1"/>
    <w:qFormat/>
    <w:rsid w:val="00B2746C"/>
    <w:rPr>
      <w:rFonts w:ascii="Arial" w:hAnsi="Arial"/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F3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2A27"/>
  </w:style>
  <w:style w:type="character" w:customStyle="1" w:styleId="Heading1Char">
    <w:name w:val="Heading 1 Char"/>
    <w:basedOn w:val="DefaultParagraphFont"/>
    <w:link w:val="Heading1"/>
    <w:uiPriority w:val="9"/>
    <w:rsid w:val="00C4322C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locked/>
    <w:rsid w:val="00C4322C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C4322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C1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DocName:00004867" TargetMode="External"/><Relationship Id="rId13" Type="http://schemas.openxmlformats.org/officeDocument/2006/relationships/hyperlink" Target="http://www.novitas-solutions.com/webcenter/content/conn/UCM_Repository/uuid/dDocName:0020030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ovitas-solutions.com/webcenter/content/conn/UCM_Repository/uuid/dDocName:0020030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x12.org/products/technical-reports" TargetMode="External"/><Relationship Id="rId5" Type="http://schemas.openxmlformats.org/officeDocument/2006/relationships/styles" Target="styles.xml"/><Relationship Id="rId15" Type="http://schemas.openxmlformats.org/officeDocument/2006/relationships/hyperlink" Target="ddocname:00004525" TargetMode="External"/><Relationship Id="rId10" Type="http://schemas.openxmlformats.org/officeDocument/2006/relationships/hyperlink" Target="http://www.novitas-solutions.com/webcenter/spaces/Enrollment_J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novitas-solutions.com/webcenter/spaces/Enrollment_JH" TargetMode="External"/><Relationship Id="rId14" Type="http://schemas.openxmlformats.org/officeDocument/2006/relationships/hyperlink" Target="ddocname:000250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9iw\Desktop\Web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6333D69391A4E99490FA9D001EFF2" ma:contentTypeVersion="0" ma:contentTypeDescription="Create a new document." ma:contentTypeScope="" ma:versionID="22b4f09d78445206be5114e9b5a928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EB6415-0615-428D-885E-071E93735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928BA6-988F-478D-8B8E-A297A71D9C5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8D70EB-7E02-4595-8B42-BC58668231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WebDocument.dotx</Template>
  <TotalTime>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header]</vt:lpstr>
    </vt:vector>
  </TitlesOfParts>
  <Company>FCSO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header]</dc:title>
  <dc:subject>[Document header]</dc:subject>
  <dc:creator>Hillman, John</dc:creator>
  <cp:lastModifiedBy>Keefer, Felecia</cp:lastModifiedBy>
  <cp:revision>2</cp:revision>
  <cp:lastPrinted>2013-08-22T18:47:00Z</cp:lastPrinted>
  <dcterms:created xsi:type="dcterms:W3CDTF">2023-09-18T18:00:00Z</dcterms:created>
  <dcterms:modified xsi:type="dcterms:W3CDTF">2023-09-18T18:00:00Z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0x01010069B6333D69391A4E99490FA9D001EFF2</vt:lpwstr>
  </property>
</Properties>
</file>