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D81B" w14:textId="5A5612B9" w:rsidR="00F02C2A" w:rsidRPr="00C91927" w:rsidRDefault="00F02C2A" w:rsidP="00C91927">
      <w:pPr>
        <w:pStyle w:val="webheader"/>
      </w:pPr>
      <w:bookmarkStart w:id="0" w:name="content"/>
      <w:r w:rsidRPr="00C91927">
        <w:t xml:space="preserve">X12N 837 5010 </w:t>
      </w:r>
      <w:r w:rsidR="001F6732">
        <w:t>t</w:t>
      </w:r>
      <w:r w:rsidRPr="00C91927">
        <w:t xml:space="preserve">esting </w:t>
      </w:r>
      <w:r w:rsidR="001F6732">
        <w:t>t</w:t>
      </w:r>
      <w:r w:rsidRPr="00C91927">
        <w:t xml:space="preserve">ips </w:t>
      </w:r>
      <w:bookmarkEnd w:id="0"/>
    </w:p>
    <w:p w14:paraId="0FE950B0" w14:textId="19DC9477" w:rsidR="00F02C2A" w:rsidRPr="00C91927" w:rsidRDefault="00F02C2A" w:rsidP="00C91927">
      <w:pPr>
        <w:pStyle w:val="webnormal"/>
      </w:pPr>
      <w:r w:rsidRPr="00C91927">
        <w:t>These tips for X12N 837 5010 are to be used as a supplement to the</w:t>
      </w:r>
      <w:r w:rsidR="0053043B" w:rsidRPr="00C91927">
        <w:t xml:space="preserve"> Electronic Data Interchange</w:t>
      </w:r>
      <w:r w:rsidR="001F4969" w:rsidRPr="00C91927">
        <w:t xml:space="preserve"> (EDI)</w:t>
      </w:r>
      <w:r w:rsidRPr="00C91927">
        <w:t xml:space="preserve"> </w:t>
      </w:r>
      <w:r w:rsidR="0053043B" w:rsidRPr="00C91927">
        <w:t>Technical Report 3</w:t>
      </w:r>
      <w:r w:rsidR="001F4969" w:rsidRPr="00C91927">
        <w:t xml:space="preserve"> (TR3)</w:t>
      </w:r>
      <w:r w:rsidRPr="00C91927">
        <w:t xml:space="preserve"> and Novitas Solutions, Inc. 5010 Companion Guide</w:t>
      </w:r>
      <w:r w:rsidR="00153E13">
        <w:t>s</w:t>
      </w:r>
      <w:r w:rsidRPr="00C91927">
        <w:t xml:space="preserve">. </w:t>
      </w:r>
      <w:r w:rsidR="00FF4337" w:rsidRPr="00C91927">
        <w:t>More information on the loop</w:t>
      </w:r>
      <w:r w:rsidR="00DC6B35">
        <w:t xml:space="preserve"> </w:t>
      </w:r>
      <w:r w:rsidR="00FF4337" w:rsidRPr="00C91927">
        <w:t>/</w:t>
      </w:r>
      <w:r w:rsidR="00DC6B35">
        <w:t xml:space="preserve"> </w:t>
      </w:r>
      <w:r w:rsidR="00FF4337" w:rsidRPr="00C91927">
        <w:t xml:space="preserve">segment requirements is available in our 5010 Expectations documents for </w:t>
      </w:r>
      <w:hyperlink r:id="rId8" w:tgtFrame="_blank" w:history="1">
        <w:r w:rsidR="00FF4337" w:rsidRPr="00C91927">
          <w:rPr>
            <w:rStyle w:val="Hyperlink"/>
          </w:rPr>
          <w:t>Part A</w:t>
        </w:r>
      </w:hyperlink>
      <w:r w:rsidR="00FF4337" w:rsidRPr="00C91927">
        <w:t xml:space="preserve"> and </w:t>
      </w:r>
      <w:hyperlink r:id="rId9" w:tgtFrame="_blank" w:history="1">
        <w:r w:rsidR="00FF4337" w:rsidRPr="00C91927">
          <w:rPr>
            <w:rStyle w:val="Hyperlink"/>
          </w:rPr>
          <w:t>Part B</w:t>
        </w:r>
      </w:hyperlink>
      <w:r w:rsidR="00FF4337" w:rsidRPr="00C91927">
        <w:t>.</w:t>
      </w:r>
    </w:p>
    <w:p w14:paraId="04C9315B" w14:textId="43900074" w:rsidR="0085133A" w:rsidRPr="00C91927" w:rsidRDefault="0085133A" w:rsidP="00C91927">
      <w:pPr>
        <w:pStyle w:val="webheader2"/>
      </w:pPr>
      <w:bookmarkStart w:id="1" w:name="1"/>
      <w:r w:rsidRPr="00C91927">
        <w:t xml:space="preserve">Testing </w:t>
      </w:r>
      <w:r w:rsidR="001F6732">
        <w:t>r</w:t>
      </w:r>
      <w:r w:rsidRPr="00C91927">
        <w:t>equirements</w:t>
      </w:r>
    </w:p>
    <w:p w14:paraId="35771320" w14:textId="77777777" w:rsidR="0085133A" w:rsidRPr="00C91927" w:rsidRDefault="0085133A" w:rsidP="00C91927">
      <w:pPr>
        <w:pStyle w:val="webbullet1"/>
      </w:pPr>
      <w:r w:rsidRPr="00C91927">
        <w:t>New software vendors are required to test their software prior t</w:t>
      </w:r>
      <w:r w:rsidR="00E10EA1">
        <w:t>o distribution to any customers, unless they will have one of their clients send test files for them.</w:t>
      </w:r>
    </w:p>
    <w:p w14:paraId="34258CC4" w14:textId="77777777" w:rsidR="0085133A" w:rsidRPr="00C91927" w:rsidRDefault="0085133A" w:rsidP="00C91927">
      <w:pPr>
        <w:pStyle w:val="webbullet1"/>
      </w:pPr>
      <w:r w:rsidRPr="00C91927">
        <w:t>Once approved testing will only be required for major changes to the specifications or when a new ANSI X12N version is implemented.</w:t>
      </w:r>
    </w:p>
    <w:p w14:paraId="1F960263" w14:textId="77777777" w:rsidR="0085133A" w:rsidRPr="00C91927" w:rsidRDefault="0085133A" w:rsidP="00C91927">
      <w:pPr>
        <w:pStyle w:val="webbullet1"/>
      </w:pPr>
      <w:r w:rsidRPr="00C91927">
        <w:t>Each provider using a vendor’s software is not required to test once the software in approved.</w:t>
      </w:r>
    </w:p>
    <w:p w14:paraId="58E658DE" w14:textId="77777777" w:rsidR="0085133A" w:rsidRPr="00C91927" w:rsidRDefault="0085133A" w:rsidP="00C91927">
      <w:pPr>
        <w:pStyle w:val="webbullet1"/>
      </w:pPr>
      <w:r w:rsidRPr="00C91927">
        <w:t xml:space="preserve">The full test requirements </w:t>
      </w:r>
      <w:proofErr w:type="gramStart"/>
      <w:r w:rsidRPr="00C91927">
        <w:t>are located in</w:t>
      </w:r>
      <w:proofErr w:type="gramEnd"/>
      <w:r w:rsidRPr="00C91927">
        <w:t xml:space="preserve"> the </w:t>
      </w:r>
      <w:hyperlink r:id="rId10" w:history="1">
        <w:r w:rsidRPr="00153E13">
          <w:rPr>
            <w:rStyle w:val="Hyperlink"/>
          </w:rPr>
          <w:t>5010 Companion Guide</w:t>
        </w:r>
        <w:r w:rsidR="00153E13" w:rsidRPr="00153E13">
          <w:rPr>
            <w:rStyle w:val="Hyperlink"/>
          </w:rPr>
          <w:t>s</w:t>
        </w:r>
      </w:hyperlink>
      <w:r w:rsidRPr="00C91927">
        <w:t>.</w:t>
      </w:r>
    </w:p>
    <w:p w14:paraId="17EC32BD" w14:textId="47059F1E" w:rsidR="0085133A" w:rsidRPr="00C91927" w:rsidRDefault="0085133A" w:rsidP="00C91927">
      <w:pPr>
        <w:pStyle w:val="webheader2"/>
      </w:pPr>
      <w:r w:rsidRPr="00C91927">
        <w:t xml:space="preserve">Transmitting </w:t>
      </w:r>
      <w:r w:rsidR="001F6732">
        <w:t>t</w:t>
      </w:r>
      <w:r w:rsidRPr="00C91927">
        <w:t xml:space="preserve">est </w:t>
      </w:r>
      <w:r w:rsidR="001F6732">
        <w:t>f</w:t>
      </w:r>
      <w:r w:rsidRPr="00C91927">
        <w:t>iles</w:t>
      </w:r>
    </w:p>
    <w:p w14:paraId="5B633A53" w14:textId="77777777" w:rsidR="0085133A" w:rsidRPr="00C91927" w:rsidRDefault="0085133A" w:rsidP="00C91927">
      <w:pPr>
        <w:pStyle w:val="webbullet1"/>
      </w:pPr>
      <w:r w:rsidRPr="00C91927">
        <w:t>Test files can be submitted to Novitas the following ways:</w:t>
      </w:r>
    </w:p>
    <w:p w14:paraId="08C16ECD" w14:textId="3385EE3F" w:rsidR="0085133A" w:rsidRPr="00C91927" w:rsidRDefault="0085133A" w:rsidP="00C91927">
      <w:pPr>
        <w:pStyle w:val="webbullet2"/>
      </w:pPr>
      <w:r w:rsidRPr="00C91927">
        <w:t xml:space="preserve">Using a </w:t>
      </w:r>
      <w:r w:rsidR="007451B4">
        <w:t>s</w:t>
      </w:r>
      <w:r w:rsidRPr="00C91927">
        <w:t xml:space="preserve">ecure </w:t>
      </w:r>
      <w:r w:rsidR="007451B4">
        <w:t>f</w:t>
      </w:r>
      <w:r w:rsidRPr="00C91927">
        <w:t xml:space="preserve">ile </w:t>
      </w:r>
      <w:r w:rsidR="007451B4">
        <w:t>t</w:t>
      </w:r>
      <w:r w:rsidRPr="00C91927">
        <w:t xml:space="preserve">ransfer </w:t>
      </w:r>
      <w:r w:rsidR="007451B4">
        <w:t>p</w:t>
      </w:r>
      <w:r w:rsidRPr="00C91927">
        <w:t xml:space="preserve">rotocol (SFTP) connection acquired by one of the approved </w:t>
      </w:r>
      <w:hyperlink r:id="rId11" w:history="1">
        <w:r w:rsidR="007451B4">
          <w:rPr>
            <w:rStyle w:val="Hyperlink"/>
          </w:rPr>
          <w:t>n</w:t>
        </w:r>
        <w:r w:rsidRPr="00C91927">
          <w:rPr>
            <w:rStyle w:val="Hyperlink"/>
          </w:rPr>
          <w:t xml:space="preserve">etwork </w:t>
        </w:r>
        <w:r w:rsidR="007451B4">
          <w:rPr>
            <w:rStyle w:val="Hyperlink"/>
          </w:rPr>
          <w:t>s</w:t>
        </w:r>
        <w:r w:rsidRPr="00C91927">
          <w:rPr>
            <w:rStyle w:val="Hyperlink"/>
          </w:rPr>
          <w:t xml:space="preserve">ervice </w:t>
        </w:r>
        <w:r w:rsidR="007451B4">
          <w:rPr>
            <w:rStyle w:val="Hyperlink"/>
          </w:rPr>
          <w:t>v</w:t>
        </w:r>
        <w:r w:rsidRPr="00C91927">
          <w:rPr>
            <w:rStyle w:val="Hyperlink"/>
          </w:rPr>
          <w:t>endors</w:t>
        </w:r>
      </w:hyperlink>
      <w:r w:rsidRPr="00C91927">
        <w:t>.</w:t>
      </w:r>
    </w:p>
    <w:p w14:paraId="7FC4707B" w14:textId="77777777" w:rsidR="0085133A" w:rsidRPr="00C91927" w:rsidRDefault="0085133A" w:rsidP="00C91927">
      <w:pPr>
        <w:pStyle w:val="webbullet2"/>
      </w:pPr>
      <w:r w:rsidRPr="00C91927">
        <w:t xml:space="preserve">Having a customer submit the test file using their SFTP connection or the Novitasphere portal.  </w:t>
      </w:r>
    </w:p>
    <w:p w14:paraId="2E1C1FDD" w14:textId="0EA1FC85" w:rsidR="0085133A" w:rsidRPr="00C91927" w:rsidRDefault="0085133A" w:rsidP="00C91927">
      <w:pPr>
        <w:pStyle w:val="webnormal"/>
      </w:pPr>
      <w:r w:rsidRPr="00C91927">
        <w:rPr>
          <w:rStyle w:val="webbold"/>
        </w:rPr>
        <w:t xml:space="preserve">Note: </w:t>
      </w:r>
      <w:r w:rsidRPr="00C91927">
        <w:t xml:space="preserve">Providers are not permitted to share their EDI </w:t>
      </w:r>
      <w:r w:rsidR="007451B4">
        <w:t>s</w:t>
      </w:r>
      <w:r w:rsidRPr="00C91927">
        <w:t xml:space="preserve">ubmitter </w:t>
      </w:r>
      <w:r w:rsidR="007451B4">
        <w:t>i</w:t>
      </w:r>
      <w:r w:rsidRPr="00C91927">
        <w:t xml:space="preserve">dentification </w:t>
      </w:r>
      <w:r w:rsidR="007451B4">
        <w:t>n</w:t>
      </w:r>
      <w:r w:rsidRPr="00C91927">
        <w:t xml:space="preserve">umbers </w:t>
      </w:r>
      <w:r w:rsidR="00E10EA1">
        <w:t xml:space="preserve">(IDs) or Novitasphere </w:t>
      </w:r>
      <w:r w:rsidR="001F6732">
        <w:t>l</w:t>
      </w:r>
      <w:r w:rsidR="00E10EA1">
        <w:t>ogin IDs with anyone, including the software vendor.</w:t>
      </w:r>
    </w:p>
    <w:p w14:paraId="07FF1A76" w14:textId="29B49114" w:rsidR="00F02C2A" w:rsidRPr="00C91927" w:rsidRDefault="00F02C2A" w:rsidP="00C91927">
      <w:pPr>
        <w:pStyle w:val="webheader2"/>
      </w:pPr>
      <w:r w:rsidRPr="00C91927">
        <w:t xml:space="preserve">Reporting </w:t>
      </w:r>
      <w:r w:rsidR="0085133A" w:rsidRPr="00C91927">
        <w:t>ID</w:t>
      </w:r>
      <w:r w:rsidRPr="00C91927">
        <w:t xml:space="preserve"> </w:t>
      </w:r>
      <w:r w:rsidR="001F6732">
        <w:t>n</w:t>
      </w:r>
      <w:r w:rsidRPr="00C91927">
        <w:t>umbers</w:t>
      </w:r>
      <w:bookmarkEnd w:id="1"/>
    </w:p>
    <w:p w14:paraId="60A6C4AE" w14:textId="5D48250F" w:rsidR="00F02C2A" w:rsidRPr="00C91927" w:rsidRDefault="00F02C2A" w:rsidP="00C91927">
      <w:pPr>
        <w:pStyle w:val="webbullet1"/>
      </w:pPr>
      <w:r w:rsidRPr="00C91927">
        <w:rPr>
          <w:rStyle w:val="webbold"/>
        </w:rPr>
        <w:t xml:space="preserve">Submitter ID: </w:t>
      </w:r>
      <w:r w:rsidRPr="00C91927">
        <w:t>Report as left-justified, space-filled number in ISA 06, GS 02, and Loop 1000A-NM1 09.</w:t>
      </w:r>
      <w:r w:rsidR="0053043B" w:rsidRPr="00C91927">
        <w:t xml:space="preserve"> </w:t>
      </w:r>
      <w:r w:rsidR="00971CF9" w:rsidRPr="00C91927">
        <w:t xml:space="preserve">The </w:t>
      </w:r>
      <w:r w:rsidR="001F6732">
        <w:t>s</w:t>
      </w:r>
      <w:r w:rsidR="00971CF9" w:rsidRPr="00C91927">
        <w:t>ubmitter ID is sent in the EDI Welcome Letter.</w:t>
      </w:r>
      <w:r w:rsidR="0053043B" w:rsidRPr="00C91927">
        <w:t xml:space="preserve"> </w:t>
      </w:r>
      <w:r w:rsidR="00971CF9" w:rsidRPr="00C91927">
        <w:t xml:space="preserve">Vendors who do not know their </w:t>
      </w:r>
      <w:r w:rsidR="001F6732">
        <w:t>s</w:t>
      </w:r>
      <w:r w:rsidR="00971CF9" w:rsidRPr="00C91927">
        <w:t xml:space="preserve">ubmitter ID can contact the </w:t>
      </w:r>
      <w:hyperlink r:id="rId12" w:history="1">
        <w:r w:rsidR="00971CF9" w:rsidRPr="00C91927">
          <w:rPr>
            <w:rStyle w:val="Hyperlink"/>
          </w:rPr>
          <w:t>EDI Help Desk</w:t>
        </w:r>
      </w:hyperlink>
      <w:r w:rsidR="00971CF9" w:rsidRPr="00C91927">
        <w:t xml:space="preserve"> to have the original letter resent.</w:t>
      </w:r>
    </w:p>
    <w:p w14:paraId="78D440AB" w14:textId="77777777" w:rsidR="00F02C2A" w:rsidRPr="00C91927" w:rsidRDefault="00F02C2A" w:rsidP="00C91927">
      <w:pPr>
        <w:pStyle w:val="webbullet1"/>
      </w:pPr>
      <w:r w:rsidRPr="00C91927">
        <w:rPr>
          <w:rStyle w:val="webbold"/>
        </w:rPr>
        <w:t xml:space="preserve">Contractor ID: </w:t>
      </w:r>
      <w:r w:rsidRPr="00C91927">
        <w:t>Report the appropriate contractor ID as a left-justified, space filled number in ISA 08, GS 03, and Loop 1000B-NM1 09.</w:t>
      </w:r>
    </w:p>
    <w:p w14:paraId="01C1CAD3" w14:textId="4B5C723E" w:rsidR="0053043B" w:rsidRPr="00C91927" w:rsidRDefault="0053043B" w:rsidP="00C91927">
      <w:pPr>
        <w:pStyle w:val="webnormal"/>
        <w:rPr>
          <w:rStyle w:val="webbold"/>
        </w:rPr>
      </w:pPr>
      <w:r w:rsidRPr="00C91927">
        <w:rPr>
          <w:rStyle w:val="webbold"/>
        </w:rPr>
        <w:t xml:space="preserve">JL Part A </w:t>
      </w:r>
      <w:r w:rsidR="001F6732">
        <w:rPr>
          <w:rStyle w:val="webbold"/>
        </w:rPr>
        <w:t>c</w:t>
      </w:r>
      <w:r w:rsidRPr="00C91927">
        <w:rPr>
          <w:rStyle w:val="webbold"/>
        </w:rPr>
        <w:t>ontractor</w:t>
      </w:r>
    </w:p>
    <w:tbl>
      <w:tblPr>
        <w:tblW w:w="3000" w:type="pct"/>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5"/>
        <w:gridCol w:w="2265"/>
      </w:tblGrid>
      <w:tr w:rsidR="0053043B" w:rsidRPr="00C91927" w14:paraId="6C12A206" w14:textId="77777777" w:rsidTr="00CF116C">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8EA6F2" w14:textId="77777777" w:rsidR="0053043B" w:rsidRPr="00C91927" w:rsidRDefault="0053043B" w:rsidP="00C91927">
            <w:pPr>
              <w:pStyle w:val="webnormal"/>
            </w:pPr>
            <w:r w:rsidRPr="00C91927">
              <w:t>Locale</w:t>
            </w:r>
          </w:p>
        </w:tc>
        <w:tc>
          <w:tcPr>
            <w:tcW w:w="0" w:type="auto"/>
            <w:tcBorders>
              <w:top w:val="outset" w:sz="6" w:space="0" w:color="auto"/>
              <w:left w:val="outset" w:sz="6" w:space="0" w:color="auto"/>
              <w:bottom w:val="outset" w:sz="6" w:space="0" w:color="auto"/>
              <w:right w:val="outset" w:sz="6" w:space="0" w:color="auto"/>
            </w:tcBorders>
            <w:hideMark/>
          </w:tcPr>
          <w:p w14:paraId="35A73E6D" w14:textId="77777777" w:rsidR="0053043B" w:rsidRPr="00C91927" w:rsidRDefault="0053043B" w:rsidP="00C91927">
            <w:pPr>
              <w:pStyle w:val="webnormal"/>
            </w:pPr>
            <w:r w:rsidRPr="00C91927">
              <w:t>ID</w:t>
            </w:r>
          </w:p>
        </w:tc>
      </w:tr>
      <w:tr w:rsidR="0053043B" w:rsidRPr="00C91927" w14:paraId="08860947" w14:textId="77777777" w:rsidTr="00CF116C">
        <w:trPr>
          <w:tblCellSpacing w:w="0" w:type="dxa"/>
        </w:trPr>
        <w:tc>
          <w:tcPr>
            <w:tcW w:w="3250" w:type="pct"/>
            <w:tcBorders>
              <w:top w:val="outset" w:sz="6" w:space="0" w:color="auto"/>
              <w:left w:val="outset" w:sz="6" w:space="0" w:color="auto"/>
              <w:bottom w:val="outset" w:sz="6" w:space="0" w:color="auto"/>
              <w:right w:val="outset" w:sz="6" w:space="0" w:color="auto"/>
            </w:tcBorders>
            <w:hideMark/>
          </w:tcPr>
          <w:p w14:paraId="21DEAEDA" w14:textId="77777777" w:rsidR="0053043B" w:rsidRPr="00C91927" w:rsidRDefault="0053043B" w:rsidP="00C91927">
            <w:pPr>
              <w:pStyle w:val="webnormal"/>
            </w:pPr>
            <w:r w:rsidRPr="00C91927">
              <w:t>Delaware</w:t>
            </w:r>
          </w:p>
        </w:tc>
        <w:tc>
          <w:tcPr>
            <w:tcW w:w="0" w:type="auto"/>
            <w:tcBorders>
              <w:top w:val="outset" w:sz="6" w:space="0" w:color="auto"/>
              <w:left w:val="outset" w:sz="6" w:space="0" w:color="auto"/>
              <w:bottom w:val="outset" w:sz="6" w:space="0" w:color="auto"/>
              <w:right w:val="outset" w:sz="6" w:space="0" w:color="auto"/>
            </w:tcBorders>
            <w:hideMark/>
          </w:tcPr>
          <w:p w14:paraId="76E69F9C" w14:textId="77777777" w:rsidR="0053043B" w:rsidRPr="00C91927" w:rsidRDefault="0053043B" w:rsidP="00C91927">
            <w:pPr>
              <w:pStyle w:val="webnormal"/>
            </w:pPr>
            <w:r w:rsidRPr="00C91927">
              <w:t>12101</w:t>
            </w:r>
          </w:p>
        </w:tc>
      </w:tr>
      <w:tr w:rsidR="0053043B" w:rsidRPr="00C91927" w14:paraId="4B9FB6FE" w14:textId="77777777" w:rsidTr="00CF1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1EA7F6" w14:textId="77777777" w:rsidR="0053043B" w:rsidRPr="00C91927" w:rsidRDefault="0053043B" w:rsidP="00C91927">
            <w:pPr>
              <w:pStyle w:val="webnormal"/>
            </w:pPr>
            <w:r w:rsidRPr="00C91927">
              <w:t>District of Columbia</w:t>
            </w:r>
          </w:p>
        </w:tc>
        <w:tc>
          <w:tcPr>
            <w:tcW w:w="0" w:type="auto"/>
            <w:tcBorders>
              <w:top w:val="outset" w:sz="6" w:space="0" w:color="auto"/>
              <w:left w:val="outset" w:sz="6" w:space="0" w:color="auto"/>
              <w:bottom w:val="outset" w:sz="6" w:space="0" w:color="auto"/>
              <w:right w:val="outset" w:sz="6" w:space="0" w:color="auto"/>
            </w:tcBorders>
            <w:hideMark/>
          </w:tcPr>
          <w:p w14:paraId="481E4090" w14:textId="77777777" w:rsidR="0053043B" w:rsidRPr="00C91927" w:rsidRDefault="0053043B" w:rsidP="00C91927">
            <w:pPr>
              <w:pStyle w:val="webnormal"/>
            </w:pPr>
            <w:r w:rsidRPr="00C91927">
              <w:t>12201</w:t>
            </w:r>
          </w:p>
        </w:tc>
      </w:tr>
      <w:tr w:rsidR="0053043B" w:rsidRPr="00C91927" w14:paraId="73AC1249" w14:textId="77777777" w:rsidTr="00CF1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3C1094" w14:textId="77777777" w:rsidR="0053043B" w:rsidRPr="00C91927" w:rsidRDefault="0053043B" w:rsidP="00C91927">
            <w:pPr>
              <w:pStyle w:val="webnormal"/>
            </w:pPr>
            <w:r w:rsidRPr="00C91927">
              <w:t>Maryland</w:t>
            </w:r>
          </w:p>
        </w:tc>
        <w:tc>
          <w:tcPr>
            <w:tcW w:w="0" w:type="auto"/>
            <w:tcBorders>
              <w:top w:val="outset" w:sz="6" w:space="0" w:color="auto"/>
              <w:left w:val="outset" w:sz="6" w:space="0" w:color="auto"/>
              <w:bottom w:val="outset" w:sz="6" w:space="0" w:color="auto"/>
              <w:right w:val="outset" w:sz="6" w:space="0" w:color="auto"/>
            </w:tcBorders>
            <w:hideMark/>
          </w:tcPr>
          <w:p w14:paraId="2054E398" w14:textId="77777777" w:rsidR="0053043B" w:rsidRPr="00C91927" w:rsidRDefault="0053043B" w:rsidP="00C91927">
            <w:pPr>
              <w:pStyle w:val="webnormal"/>
            </w:pPr>
            <w:r w:rsidRPr="00C91927">
              <w:t>12301</w:t>
            </w:r>
          </w:p>
        </w:tc>
      </w:tr>
      <w:tr w:rsidR="0053043B" w:rsidRPr="00C91927" w14:paraId="15C12C27" w14:textId="77777777" w:rsidTr="00CF1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467315" w14:textId="77777777" w:rsidR="0053043B" w:rsidRPr="00C91927" w:rsidRDefault="0053043B" w:rsidP="00C91927">
            <w:pPr>
              <w:pStyle w:val="webnormal"/>
            </w:pPr>
            <w:r w:rsidRPr="00C91927">
              <w:t>New Jersey</w:t>
            </w:r>
          </w:p>
        </w:tc>
        <w:tc>
          <w:tcPr>
            <w:tcW w:w="0" w:type="auto"/>
            <w:tcBorders>
              <w:top w:val="outset" w:sz="6" w:space="0" w:color="auto"/>
              <w:left w:val="outset" w:sz="6" w:space="0" w:color="auto"/>
              <w:bottom w:val="outset" w:sz="6" w:space="0" w:color="auto"/>
              <w:right w:val="outset" w:sz="6" w:space="0" w:color="auto"/>
            </w:tcBorders>
            <w:hideMark/>
          </w:tcPr>
          <w:p w14:paraId="48B9AA25" w14:textId="77777777" w:rsidR="0053043B" w:rsidRPr="00C91927" w:rsidRDefault="0053043B" w:rsidP="00C91927">
            <w:pPr>
              <w:pStyle w:val="webnormal"/>
            </w:pPr>
            <w:r w:rsidRPr="00C91927">
              <w:t>12401</w:t>
            </w:r>
          </w:p>
        </w:tc>
      </w:tr>
      <w:tr w:rsidR="0053043B" w:rsidRPr="00C91927" w14:paraId="405B9D30" w14:textId="77777777" w:rsidTr="00CF1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C79E6C" w14:textId="77777777" w:rsidR="0053043B" w:rsidRPr="00C91927" w:rsidRDefault="0053043B" w:rsidP="00C91927">
            <w:pPr>
              <w:pStyle w:val="webnormal"/>
            </w:pPr>
            <w:r w:rsidRPr="00C91927">
              <w:lastRenderedPageBreak/>
              <w:t>Pennsylvania</w:t>
            </w:r>
          </w:p>
        </w:tc>
        <w:tc>
          <w:tcPr>
            <w:tcW w:w="0" w:type="auto"/>
            <w:tcBorders>
              <w:top w:val="outset" w:sz="6" w:space="0" w:color="auto"/>
              <w:left w:val="outset" w:sz="6" w:space="0" w:color="auto"/>
              <w:bottom w:val="outset" w:sz="6" w:space="0" w:color="auto"/>
              <w:right w:val="outset" w:sz="6" w:space="0" w:color="auto"/>
            </w:tcBorders>
            <w:hideMark/>
          </w:tcPr>
          <w:p w14:paraId="3B156F4C" w14:textId="77777777" w:rsidR="0053043B" w:rsidRPr="00C91927" w:rsidRDefault="0053043B" w:rsidP="00C91927">
            <w:pPr>
              <w:pStyle w:val="webnormal"/>
            </w:pPr>
            <w:r w:rsidRPr="00C91927">
              <w:t>12501</w:t>
            </w:r>
          </w:p>
        </w:tc>
      </w:tr>
      <w:tr w:rsidR="0053043B" w:rsidRPr="00C91927" w14:paraId="44472851" w14:textId="77777777" w:rsidTr="00CF1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AA0777" w14:textId="77777777" w:rsidR="0053043B" w:rsidRPr="00C91927" w:rsidRDefault="0053043B" w:rsidP="00C91927">
            <w:pPr>
              <w:pStyle w:val="webnormal"/>
            </w:pPr>
            <w:r w:rsidRPr="00C91927">
              <w:t>J12901</w:t>
            </w:r>
          </w:p>
        </w:tc>
        <w:tc>
          <w:tcPr>
            <w:tcW w:w="0" w:type="auto"/>
            <w:tcBorders>
              <w:top w:val="outset" w:sz="6" w:space="0" w:color="auto"/>
              <w:left w:val="outset" w:sz="6" w:space="0" w:color="auto"/>
              <w:bottom w:val="outset" w:sz="6" w:space="0" w:color="auto"/>
              <w:right w:val="outset" w:sz="6" w:space="0" w:color="auto"/>
            </w:tcBorders>
            <w:hideMark/>
          </w:tcPr>
          <w:p w14:paraId="36ED2F95" w14:textId="77777777" w:rsidR="0053043B" w:rsidRPr="00C91927" w:rsidRDefault="0053043B" w:rsidP="00C91927">
            <w:pPr>
              <w:pStyle w:val="webnormal"/>
            </w:pPr>
            <w:r w:rsidRPr="00C91927">
              <w:t>12901</w:t>
            </w:r>
          </w:p>
        </w:tc>
      </w:tr>
    </w:tbl>
    <w:p w14:paraId="78E28650" w14:textId="340CA52B" w:rsidR="0053043B" w:rsidRPr="00C91927" w:rsidRDefault="0053043B" w:rsidP="00C91927">
      <w:pPr>
        <w:pStyle w:val="webnormal"/>
        <w:rPr>
          <w:rStyle w:val="webbold"/>
        </w:rPr>
      </w:pPr>
      <w:r w:rsidRPr="00C91927">
        <w:rPr>
          <w:rStyle w:val="webbold"/>
        </w:rPr>
        <w:t xml:space="preserve">JL Part B </w:t>
      </w:r>
      <w:r w:rsidR="001F6732">
        <w:rPr>
          <w:rStyle w:val="webbold"/>
        </w:rPr>
        <w:t>c</w:t>
      </w:r>
      <w:r w:rsidRPr="00C91927">
        <w:rPr>
          <w:rStyle w:val="webbold"/>
        </w:rPr>
        <w:t>ontractor</w:t>
      </w:r>
    </w:p>
    <w:tbl>
      <w:tblPr>
        <w:tblW w:w="3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137"/>
        <w:gridCol w:w="2337"/>
      </w:tblGrid>
      <w:tr w:rsidR="0053043B" w:rsidRPr="00C91927" w14:paraId="5FEF58C4" w14:textId="77777777" w:rsidTr="0053043B">
        <w:trPr>
          <w:tblHeader/>
          <w:tblCellSpacing w:w="15" w:type="dxa"/>
        </w:trPr>
        <w:tc>
          <w:tcPr>
            <w:tcW w:w="0" w:type="auto"/>
            <w:tcBorders>
              <w:top w:val="single" w:sz="4" w:space="0" w:color="auto"/>
              <w:left w:val="single" w:sz="4" w:space="0" w:color="auto"/>
              <w:right w:val="single" w:sz="4" w:space="0" w:color="auto"/>
            </w:tcBorders>
            <w:vAlign w:val="center"/>
            <w:hideMark/>
          </w:tcPr>
          <w:p w14:paraId="25479191" w14:textId="77777777" w:rsidR="0053043B" w:rsidRPr="00C91927" w:rsidRDefault="0053043B" w:rsidP="00C91927">
            <w:pPr>
              <w:pStyle w:val="webnormal"/>
            </w:pPr>
            <w:r w:rsidRPr="00C91927">
              <w:t>Locale</w:t>
            </w:r>
          </w:p>
        </w:tc>
        <w:tc>
          <w:tcPr>
            <w:tcW w:w="0" w:type="auto"/>
            <w:tcBorders>
              <w:top w:val="single" w:sz="4" w:space="0" w:color="auto"/>
              <w:right w:val="single" w:sz="4" w:space="0" w:color="auto"/>
            </w:tcBorders>
            <w:vAlign w:val="center"/>
            <w:hideMark/>
          </w:tcPr>
          <w:p w14:paraId="45A82DBC" w14:textId="77777777" w:rsidR="0053043B" w:rsidRPr="00C91927" w:rsidRDefault="0053043B" w:rsidP="00C91927">
            <w:pPr>
              <w:pStyle w:val="webnormal"/>
            </w:pPr>
            <w:r w:rsidRPr="00C91927">
              <w:t>ID</w:t>
            </w:r>
          </w:p>
        </w:tc>
      </w:tr>
      <w:tr w:rsidR="0053043B" w:rsidRPr="00C91927" w14:paraId="2DAFCE0D" w14:textId="77777777" w:rsidTr="0053043B">
        <w:trPr>
          <w:tblCellSpacing w:w="15" w:type="dxa"/>
        </w:trPr>
        <w:tc>
          <w:tcPr>
            <w:tcW w:w="3205" w:type="pct"/>
            <w:tcBorders>
              <w:top w:val="single" w:sz="4" w:space="0" w:color="auto"/>
              <w:left w:val="single" w:sz="4" w:space="0" w:color="auto"/>
              <w:right w:val="single" w:sz="4" w:space="0" w:color="auto"/>
            </w:tcBorders>
            <w:vAlign w:val="center"/>
            <w:hideMark/>
          </w:tcPr>
          <w:p w14:paraId="7C2D3E60" w14:textId="77777777" w:rsidR="0053043B" w:rsidRPr="00C91927" w:rsidRDefault="0053043B" w:rsidP="00C91927">
            <w:pPr>
              <w:pStyle w:val="webnormal"/>
            </w:pPr>
            <w:r w:rsidRPr="00C91927">
              <w:t>Delaware</w:t>
            </w:r>
          </w:p>
        </w:tc>
        <w:tc>
          <w:tcPr>
            <w:tcW w:w="0" w:type="auto"/>
            <w:tcBorders>
              <w:top w:val="single" w:sz="4" w:space="0" w:color="auto"/>
              <w:right w:val="single" w:sz="4" w:space="0" w:color="auto"/>
            </w:tcBorders>
            <w:vAlign w:val="center"/>
            <w:hideMark/>
          </w:tcPr>
          <w:p w14:paraId="6EBEEDA5" w14:textId="77777777" w:rsidR="0053043B" w:rsidRPr="00C91927" w:rsidRDefault="0053043B" w:rsidP="00C91927">
            <w:pPr>
              <w:pStyle w:val="webnormal"/>
            </w:pPr>
            <w:r w:rsidRPr="00C91927">
              <w:t>12102</w:t>
            </w:r>
          </w:p>
        </w:tc>
      </w:tr>
      <w:tr w:rsidR="0053043B" w:rsidRPr="00C91927" w14:paraId="69115F6C" w14:textId="77777777" w:rsidTr="0053043B">
        <w:trPr>
          <w:tblCellSpacing w:w="15" w:type="dxa"/>
        </w:trPr>
        <w:tc>
          <w:tcPr>
            <w:tcW w:w="0" w:type="auto"/>
            <w:tcBorders>
              <w:top w:val="single" w:sz="4" w:space="0" w:color="auto"/>
              <w:left w:val="single" w:sz="4" w:space="0" w:color="auto"/>
              <w:right w:val="single" w:sz="4" w:space="0" w:color="auto"/>
            </w:tcBorders>
            <w:vAlign w:val="center"/>
            <w:hideMark/>
          </w:tcPr>
          <w:p w14:paraId="4C808CFB" w14:textId="77777777" w:rsidR="0053043B" w:rsidRPr="00C91927" w:rsidRDefault="0053043B" w:rsidP="00C91927">
            <w:pPr>
              <w:pStyle w:val="webnormal"/>
            </w:pPr>
            <w:r w:rsidRPr="00C91927">
              <w:t>District of Columbia Metropolitan Area</w:t>
            </w:r>
          </w:p>
        </w:tc>
        <w:tc>
          <w:tcPr>
            <w:tcW w:w="0" w:type="auto"/>
            <w:tcBorders>
              <w:top w:val="single" w:sz="4" w:space="0" w:color="auto"/>
              <w:right w:val="single" w:sz="4" w:space="0" w:color="auto"/>
            </w:tcBorders>
            <w:vAlign w:val="center"/>
            <w:hideMark/>
          </w:tcPr>
          <w:p w14:paraId="7AAD653A" w14:textId="77777777" w:rsidR="0053043B" w:rsidRPr="00C91927" w:rsidRDefault="0053043B" w:rsidP="00C91927">
            <w:pPr>
              <w:pStyle w:val="webnormal"/>
            </w:pPr>
            <w:r w:rsidRPr="00C91927">
              <w:t>12202</w:t>
            </w:r>
          </w:p>
        </w:tc>
      </w:tr>
      <w:tr w:rsidR="0053043B" w:rsidRPr="00C91927" w14:paraId="30EF5927" w14:textId="77777777" w:rsidTr="0053043B">
        <w:trPr>
          <w:tblCellSpacing w:w="15" w:type="dxa"/>
        </w:trPr>
        <w:tc>
          <w:tcPr>
            <w:tcW w:w="0" w:type="auto"/>
            <w:tcBorders>
              <w:top w:val="single" w:sz="4" w:space="0" w:color="auto"/>
              <w:left w:val="single" w:sz="4" w:space="0" w:color="auto"/>
              <w:right w:val="single" w:sz="4" w:space="0" w:color="auto"/>
            </w:tcBorders>
            <w:vAlign w:val="center"/>
            <w:hideMark/>
          </w:tcPr>
          <w:p w14:paraId="5A86AE17" w14:textId="77777777" w:rsidR="0053043B" w:rsidRPr="00C91927" w:rsidRDefault="0053043B" w:rsidP="00C91927">
            <w:pPr>
              <w:pStyle w:val="webnormal"/>
            </w:pPr>
            <w:r w:rsidRPr="00C91927">
              <w:t>Maryland</w:t>
            </w:r>
          </w:p>
        </w:tc>
        <w:tc>
          <w:tcPr>
            <w:tcW w:w="0" w:type="auto"/>
            <w:tcBorders>
              <w:top w:val="single" w:sz="4" w:space="0" w:color="auto"/>
              <w:right w:val="single" w:sz="4" w:space="0" w:color="auto"/>
            </w:tcBorders>
            <w:vAlign w:val="center"/>
            <w:hideMark/>
          </w:tcPr>
          <w:p w14:paraId="7BD18BDB" w14:textId="77777777" w:rsidR="0053043B" w:rsidRPr="00C91927" w:rsidRDefault="0053043B" w:rsidP="00C91927">
            <w:pPr>
              <w:pStyle w:val="webnormal"/>
            </w:pPr>
            <w:r w:rsidRPr="00C91927">
              <w:t>12302</w:t>
            </w:r>
          </w:p>
        </w:tc>
      </w:tr>
      <w:tr w:rsidR="0053043B" w:rsidRPr="00C91927" w14:paraId="5654A802" w14:textId="77777777" w:rsidTr="0053043B">
        <w:trPr>
          <w:tblCellSpacing w:w="15" w:type="dxa"/>
        </w:trPr>
        <w:tc>
          <w:tcPr>
            <w:tcW w:w="0" w:type="auto"/>
            <w:tcBorders>
              <w:top w:val="single" w:sz="4" w:space="0" w:color="auto"/>
              <w:left w:val="single" w:sz="4" w:space="0" w:color="auto"/>
              <w:right w:val="single" w:sz="4" w:space="0" w:color="auto"/>
            </w:tcBorders>
            <w:vAlign w:val="center"/>
            <w:hideMark/>
          </w:tcPr>
          <w:p w14:paraId="693C0C1A" w14:textId="77777777" w:rsidR="0053043B" w:rsidRPr="00C91927" w:rsidRDefault="0053043B" w:rsidP="00C91927">
            <w:pPr>
              <w:pStyle w:val="webnormal"/>
            </w:pPr>
            <w:r w:rsidRPr="00C91927">
              <w:t>New Jersey</w:t>
            </w:r>
          </w:p>
        </w:tc>
        <w:tc>
          <w:tcPr>
            <w:tcW w:w="0" w:type="auto"/>
            <w:tcBorders>
              <w:top w:val="single" w:sz="4" w:space="0" w:color="auto"/>
              <w:right w:val="single" w:sz="4" w:space="0" w:color="auto"/>
            </w:tcBorders>
            <w:vAlign w:val="center"/>
            <w:hideMark/>
          </w:tcPr>
          <w:p w14:paraId="3FA9209B" w14:textId="77777777" w:rsidR="0053043B" w:rsidRPr="00C91927" w:rsidRDefault="0053043B" w:rsidP="00C91927">
            <w:pPr>
              <w:pStyle w:val="webnormal"/>
            </w:pPr>
            <w:r w:rsidRPr="00C91927">
              <w:t>12402</w:t>
            </w:r>
          </w:p>
        </w:tc>
      </w:tr>
      <w:tr w:rsidR="0053043B" w:rsidRPr="00C91927" w14:paraId="5F99AF7E" w14:textId="77777777" w:rsidTr="0053043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BE3C6E" w14:textId="77777777" w:rsidR="0053043B" w:rsidRPr="00C91927" w:rsidRDefault="0053043B" w:rsidP="00C91927">
            <w:pPr>
              <w:pStyle w:val="webnormal"/>
            </w:pPr>
            <w:r w:rsidRPr="00C91927">
              <w:t>Pennsylvania</w:t>
            </w:r>
          </w:p>
        </w:tc>
        <w:tc>
          <w:tcPr>
            <w:tcW w:w="0" w:type="auto"/>
            <w:tcBorders>
              <w:top w:val="single" w:sz="4" w:space="0" w:color="auto"/>
              <w:bottom w:val="single" w:sz="4" w:space="0" w:color="auto"/>
              <w:right w:val="single" w:sz="4" w:space="0" w:color="auto"/>
            </w:tcBorders>
            <w:vAlign w:val="center"/>
            <w:hideMark/>
          </w:tcPr>
          <w:p w14:paraId="05210A6D" w14:textId="77777777" w:rsidR="0053043B" w:rsidRPr="00C91927" w:rsidRDefault="0053043B" w:rsidP="00C91927">
            <w:pPr>
              <w:pStyle w:val="webnormal"/>
            </w:pPr>
            <w:r w:rsidRPr="00C91927">
              <w:t>12502</w:t>
            </w:r>
          </w:p>
        </w:tc>
      </w:tr>
    </w:tbl>
    <w:p w14:paraId="25EE61F2" w14:textId="57AB3E9A" w:rsidR="00F02C2A" w:rsidRPr="00C91927" w:rsidRDefault="00F02C2A" w:rsidP="00C91927">
      <w:pPr>
        <w:pStyle w:val="webbullet1"/>
      </w:pPr>
      <w:r w:rsidRPr="00C91927">
        <w:t>For a group provider, report the group</w:t>
      </w:r>
      <w:r w:rsidR="009C0306">
        <w:t xml:space="preserve"> National Provider Identifier (</w:t>
      </w:r>
      <w:r w:rsidRPr="00C91927">
        <w:t>NPI</w:t>
      </w:r>
      <w:r w:rsidR="009C0306">
        <w:t>)</w:t>
      </w:r>
      <w:r w:rsidRPr="00C91927">
        <w:t xml:space="preserve"> as a </w:t>
      </w:r>
      <w:r w:rsidR="001F6732" w:rsidRPr="00C91927">
        <w:t>10-position</w:t>
      </w:r>
      <w:r w:rsidRPr="00C91927">
        <w:t xml:space="preserve"> number in </w:t>
      </w:r>
      <w:r w:rsidR="001F6732">
        <w:t>l</w:t>
      </w:r>
      <w:r w:rsidRPr="00C91927">
        <w:t xml:space="preserve">oop 2010AA NM109 with an XX qualifier in </w:t>
      </w:r>
      <w:r w:rsidR="001F6732">
        <w:t>l</w:t>
      </w:r>
      <w:r w:rsidRPr="00C91927">
        <w:t xml:space="preserve">oop 2010AA NM108. Report the group tax ID in Loop 2010AA REF02 with an EI qualifier in Loop 2010AA REF02. The </w:t>
      </w:r>
      <w:r w:rsidR="00B05858" w:rsidRPr="00C91927">
        <w:t>group member</w:t>
      </w:r>
      <w:r w:rsidR="00DC6B35">
        <w:t xml:space="preserve"> </w:t>
      </w:r>
      <w:r w:rsidR="00B05858" w:rsidRPr="00C91927">
        <w:t>/</w:t>
      </w:r>
      <w:r w:rsidR="00DC6B35">
        <w:t xml:space="preserve"> </w:t>
      </w:r>
      <w:r w:rsidRPr="00C91927">
        <w:t xml:space="preserve">rendering provider’s NPI should be reported as a </w:t>
      </w:r>
      <w:r w:rsidR="001F6732" w:rsidRPr="00C91927">
        <w:t>10-position</w:t>
      </w:r>
      <w:r w:rsidRPr="00C91927">
        <w:t xml:space="preserve"> number in </w:t>
      </w:r>
      <w:r w:rsidR="001F6732">
        <w:t>l</w:t>
      </w:r>
      <w:r w:rsidRPr="00C91927">
        <w:t xml:space="preserve">oop 2310B NM109 or 2420A NM109 with an XX qualifier in Loop 2310B NM108 or 2420A NM109. </w:t>
      </w:r>
    </w:p>
    <w:p w14:paraId="45304D57" w14:textId="52C4BEFD" w:rsidR="00F02C2A" w:rsidRPr="00C91927" w:rsidRDefault="00F02C2A" w:rsidP="00C91927">
      <w:pPr>
        <w:pStyle w:val="webbullet1"/>
      </w:pPr>
      <w:r w:rsidRPr="00C91927">
        <w:t xml:space="preserve">For a solo provider, report the solo NPI as a </w:t>
      </w:r>
      <w:r w:rsidR="001F6732" w:rsidRPr="00C91927">
        <w:t>10-position</w:t>
      </w:r>
      <w:r w:rsidRPr="00C91927">
        <w:t xml:space="preserve"> number in </w:t>
      </w:r>
      <w:r w:rsidR="001F6732">
        <w:t>l</w:t>
      </w:r>
      <w:r w:rsidRPr="00C91927">
        <w:t xml:space="preserve">oop 2010AA NM109 with an XX qualifier in </w:t>
      </w:r>
      <w:r w:rsidR="001F6732">
        <w:t>l</w:t>
      </w:r>
      <w:r w:rsidRPr="00C91927">
        <w:t xml:space="preserve">oop 2010AA NM108. If the provider has enrolled with Medicare using their tax ID, report the tax ID in </w:t>
      </w:r>
      <w:r w:rsidR="001F6732">
        <w:t>l</w:t>
      </w:r>
      <w:r w:rsidRPr="00C91927">
        <w:t xml:space="preserve">oop 2010AA REF02 with an EI qualifier in Loop 2010AA REF02. If the provider has enrolled with Medicare using their Social Security Number (SSN), report the SSN in Loop 2010AA REF02 with a SY qualifier in Loop 2010AA REF02. </w:t>
      </w:r>
    </w:p>
    <w:p w14:paraId="6913E6EF" w14:textId="77777777" w:rsidR="00F02C2A" w:rsidRPr="00C91927" w:rsidRDefault="00F02C2A" w:rsidP="00C91927">
      <w:pPr>
        <w:pStyle w:val="webbullet1"/>
      </w:pPr>
      <w:r w:rsidRPr="00C91927">
        <w:t xml:space="preserve">The address in the 2010AA N3 segment cannot be a P.O. Box. </w:t>
      </w:r>
    </w:p>
    <w:p w14:paraId="3B8F40FB" w14:textId="77777777" w:rsidR="00F02C2A" w:rsidRPr="00C91927" w:rsidRDefault="00F02C2A" w:rsidP="00C91927">
      <w:pPr>
        <w:pStyle w:val="webbullet1"/>
      </w:pPr>
      <w:r w:rsidRPr="00C91927">
        <w:t xml:space="preserve">The zip code in the 2010AA N4 and the facility segments must be 9 digits. </w:t>
      </w:r>
    </w:p>
    <w:p w14:paraId="01BCB514" w14:textId="242EECCA" w:rsidR="00F02C2A" w:rsidRPr="00C91927" w:rsidRDefault="00F02C2A" w:rsidP="00C91927">
      <w:pPr>
        <w:pStyle w:val="webheader2"/>
      </w:pPr>
      <w:bookmarkStart w:id="2" w:name="2"/>
      <w:r w:rsidRPr="00C91927">
        <w:t xml:space="preserve">Claim </w:t>
      </w:r>
      <w:r w:rsidR="001F6732">
        <w:t>l</w:t>
      </w:r>
      <w:r w:rsidRPr="00C91927">
        <w:t xml:space="preserve">evel vs. Line </w:t>
      </w:r>
      <w:r w:rsidR="001F6732">
        <w:t>l</w:t>
      </w:r>
      <w:r w:rsidRPr="00C91927">
        <w:t xml:space="preserve">evel </w:t>
      </w:r>
      <w:r w:rsidR="001F6732">
        <w:t>r</w:t>
      </w:r>
      <w:r w:rsidRPr="00C91927">
        <w:t>eporting</w:t>
      </w:r>
      <w:bookmarkEnd w:id="2"/>
    </w:p>
    <w:p w14:paraId="3F7B7637" w14:textId="60FDA6B7" w:rsidR="00F02C2A" w:rsidRPr="00C91927" w:rsidRDefault="00F02C2A" w:rsidP="00C91927">
      <w:pPr>
        <w:pStyle w:val="webbullet1"/>
      </w:pPr>
      <w:r w:rsidRPr="00C91927">
        <w:t xml:space="preserve">When data is reported at both the </w:t>
      </w:r>
      <w:r w:rsidR="001F6732">
        <w:t>c</w:t>
      </w:r>
      <w:r w:rsidRPr="00C91927">
        <w:t xml:space="preserve">laim </w:t>
      </w:r>
      <w:r w:rsidR="001F6732">
        <w:t>l</w:t>
      </w:r>
      <w:r w:rsidRPr="00C91927">
        <w:t xml:space="preserve">evel and the </w:t>
      </w:r>
      <w:r w:rsidR="001F6732">
        <w:t>l</w:t>
      </w:r>
      <w:r w:rsidRPr="00C91927">
        <w:t xml:space="preserve">ine </w:t>
      </w:r>
      <w:r w:rsidR="001F6732">
        <w:t>l</w:t>
      </w:r>
      <w:r w:rsidRPr="00C91927">
        <w:t xml:space="preserve">evel, verify the data is not the same. </w:t>
      </w:r>
      <w:r w:rsidR="00B05858" w:rsidRPr="00C91927">
        <w:t>D</w:t>
      </w:r>
      <w:r w:rsidRPr="00C91927">
        <w:t xml:space="preserve">ata should be reported at the higher level with the </w:t>
      </w:r>
      <w:r w:rsidR="001F6732">
        <w:t>c</w:t>
      </w:r>
      <w:r w:rsidRPr="00C91927">
        <w:t xml:space="preserve">laim </w:t>
      </w:r>
      <w:r w:rsidR="001F6732">
        <w:t>l</w:t>
      </w:r>
      <w:r w:rsidRPr="00C91927">
        <w:t xml:space="preserve">evel being the higher level and the </w:t>
      </w:r>
      <w:r w:rsidR="001F6732">
        <w:t>l</w:t>
      </w:r>
      <w:r w:rsidRPr="00C91927">
        <w:t xml:space="preserve">ine </w:t>
      </w:r>
      <w:r w:rsidR="001F6732">
        <w:t>l</w:t>
      </w:r>
      <w:r w:rsidRPr="00C91927">
        <w:t xml:space="preserve">evel being the lower level. Claim </w:t>
      </w:r>
      <w:r w:rsidR="001F6732">
        <w:t>l</w:t>
      </w:r>
      <w:r w:rsidRPr="00C91927">
        <w:t xml:space="preserve">evel data reported is accepted for all lines of service in the claim and any information reported at the </w:t>
      </w:r>
      <w:r w:rsidR="001F6732">
        <w:t>l</w:t>
      </w:r>
      <w:r w:rsidRPr="00C91927">
        <w:t xml:space="preserve">ine </w:t>
      </w:r>
      <w:r w:rsidR="001F6732">
        <w:t>l</w:t>
      </w:r>
      <w:r w:rsidRPr="00C91927">
        <w:t xml:space="preserve">evel supersedes the data reported at the </w:t>
      </w:r>
      <w:r w:rsidR="001F6732">
        <w:t>c</w:t>
      </w:r>
      <w:r w:rsidRPr="00C91927">
        <w:t xml:space="preserve">laim Level. Therefore, it is unnecessary to report claim data at the </w:t>
      </w:r>
      <w:r w:rsidR="001F6732">
        <w:t>l</w:t>
      </w:r>
      <w:r w:rsidRPr="00C91927">
        <w:t xml:space="preserve">ine </w:t>
      </w:r>
      <w:r w:rsidR="001F6732">
        <w:t>l</w:t>
      </w:r>
      <w:r w:rsidRPr="00C91927">
        <w:t xml:space="preserve">evel if the same information was already reported at the </w:t>
      </w:r>
      <w:r w:rsidR="001F6732">
        <w:t>c</w:t>
      </w:r>
      <w:r w:rsidRPr="00C91927">
        <w:t xml:space="preserve">laim </w:t>
      </w:r>
      <w:r w:rsidR="001F6732">
        <w:t>l</w:t>
      </w:r>
      <w:r w:rsidRPr="00C91927">
        <w:t xml:space="preserve">evel. </w:t>
      </w:r>
    </w:p>
    <w:p w14:paraId="7E72ED6D" w14:textId="32DA2B42" w:rsidR="00F02C2A" w:rsidRPr="00C91927" w:rsidRDefault="00F02C2A" w:rsidP="00C91927">
      <w:pPr>
        <w:pStyle w:val="webbullet1"/>
      </w:pPr>
      <w:r w:rsidRPr="00C91927">
        <w:t xml:space="preserve">Examples of data that can be reported at both the </w:t>
      </w:r>
      <w:r w:rsidR="001F6732">
        <w:t>c</w:t>
      </w:r>
      <w:r w:rsidRPr="00C91927">
        <w:t xml:space="preserve">laim and </w:t>
      </w:r>
      <w:r w:rsidR="001F6732">
        <w:t>l</w:t>
      </w:r>
      <w:r w:rsidRPr="00C91927">
        <w:t xml:space="preserve">ine </w:t>
      </w:r>
      <w:r w:rsidR="001F6732">
        <w:t>l</w:t>
      </w:r>
      <w:r w:rsidRPr="00C91927">
        <w:t xml:space="preserve">evels: </w:t>
      </w:r>
    </w:p>
    <w:p w14:paraId="1A0B7073" w14:textId="72E5F8AF" w:rsidR="00F02C2A" w:rsidRPr="00C91927" w:rsidRDefault="00F02C2A" w:rsidP="00C91927">
      <w:pPr>
        <w:pStyle w:val="webbullet2"/>
      </w:pPr>
      <w:r w:rsidRPr="00C91927">
        <w:t xml:space="preserve">Place of Service </w:t>
      </w:r>
      <w:r w:rsidR="001F6732">
        <w:t>c</w:t>
      </w:r>
      <w:r w:rsidRPr="00C91927">
        <w:t xml:space="preserve">odes </w:t>
      </w:r>
    </w:p>
    <w:p w14:paraId="43E5BD60" w14:textId="2CFF0AFE" w:rsidR="00F02C2A" w:rsidRPr="00C91927" w:rsidRDefault="00F02C2A" w:rsidP="00C91927">
      <w:pPr>
        <w:pStyle w:val="webbullet2"/>
      </w:pPr>
      <w:r w:rsidRPr="00C91927">
        <w:t xml:space="preserve">Rendering </w:t>
      </w:r>
      <w:r w:rsidR="001F6732">
        <w:t>p</w:t>
      </w:r>
      <w:r w:rsidRPr="00C91927">
        <w:t xml:space="preserve">rovider </w:t>
      </w:r>
      <w:r w:rsidR="001F6732">
        <w:t>i</w:t>
      </w:r>
      <w:r w:rsidRPr="00C91927">
        <w:t xml:space="preserve">nformation </w:t>
      </w:r>
    </w:p>
    <w:p w14:paraId="5F9EDE4B" w14:textId="1DA2A098" w:rsidR="00F02C2A" w:rsidRPr="00C91927" w:rsidRDefault="00F02C2A" w:rsidP="00C91927">
      <w:pPr>
        <w:pStyle w:val="webbullet2"/>
      </w:pPr>
      <w:r w:rsidRPr="00C91927">
        <w:t xml:space="preserve">Referring </w:t>
      </w:r>
      <w:r w:rsidR="001F6732">
        <w:t>p</w:t>
      </w:r>
      <w:r w:rsidRPr="00C91927">
        <w:t xml:space="preserve">rovider </w:t>
      </w:r>
      <w:r w:rsidR="001F6732">
        <w:t>i</w:t>
      </w:r>
      <w:r w:rsidRPr="00C91927">
        <w:t xml:space="preserve">nformation </w:t>
      </w:r>
    </w:p>
    <w:p w14:paraId="6CC2DBF4" w14:textId="63A4CEE7" w:rsidR="001779B7" w:rsidRPr="00C91927" w:rsidRDefault="001779B7" w:rsidP="00C91927">
      <w:pPr>
        <w:pStyle w:val="webheader2"/>
      </w:pPr>
      <w:bookmarkStart w:id="3" w:name="3"/>
      <w:r w:rsidRPr="00C91927">
        <w:lastRenderedPageBreak/>
        <w:t xml:space="preserve">Reporting </w:t>
      </w:r>
      <w:r w:rsidR="001F6732">
        <w:t>g</w:t>
      </w:r>
      <w:r w:rsidRPr="00C91927">
        <w:t xml:space="preserve">eneral </w:t>
      </w:r>
      <w:r w:rsidR="001F6732">
        <w:t>t</w:t>
      </w:r>
      <w:r w:rsidRPr="00C91927">
        <w:t>ransaction</w:t>
      </w:r>
      <w:r w:rsidR="00DC6B35">
        <w:t xml:space="preserve"> </w:t>
      </w:r>
      <w:r w:rsidRPr="00C91927">
        <w:t>/</w:t>
      </w:r>
      <w:r w:rsidR="00DC6B35">
        <w:t xml:space="preserve"> </w:t>
      </w:r>
      <w:r w:rsidRPr="00C91927">
        <w:t xml:space="preserve">Claim </w:t>
      </w:r>
      <w:r w:rsidR="001F6732">
        <w:t>d</w:t>
      </w:r>
      <w:r w:rsidRPr="00C91927">
        <w:t>ata</w:t>
      </w:r>
      <w:bookmarkEnd w:id="3"/>
    </w:p>
    <w:p w14:paraId="0A7D1163" w14:textId="77777777" w:rsidR="001779B7" w:rsidRPr="00C91927" w:rsidRDefault="001779B7" w:rsidP="00C91927">
      <w:pPr>
        <w:pStyle w:val="webbullet1"/>
      </w:pPr>
      <w:r w:rsidRPr="00C91927">
        <w:t>ISA recommendations for Novitas Solutions, Inc. customers:</w:t>
      </w:r>
    </w:p>
    <w:p w14:paraId="7B10AC3F" w14:textId="77777777" w:rsidR="001779B7" w:rsidRPr="00C91927" w:rsidRDefault="001779B7" w:rsidP="00C91927">
      <w:pPr>
        <w:pStyle w:val="webbullet2"/>
      </w:pPr>
      <w:r w:rsidRPr="00C91927">
        <w:t xml:space="preserve">ISA 01 – Use “00” Qualifier </w:t>
      </w:r>
    </w:p>
    <w:p w14:paraId="49ACF050" w14:textId="77777777" w:rsidR="001779B7" w:rsidRPr="00C91927" w:rsidRDefault="001779B7" w:rsidP="00C91927">
      <w:pPr>
        <w:pStyle w:val="webbullet2"/>
      </w:pPr>
      <w:r w:rsidRPr="00C91927">
        <w:t xml:space="preserve">ISA 02 – 10 Spaces </w:t>
      </w:r>
    </w:p>
    <w:p w14:paraId="0A8BF79F" w14:textId="77777777" w:rsidR="001779B7" w:rsidRPr="00C91927" w:rsidRDefault="001779B7" w:rsidP="00C91927">
      <w:pPr>
        <w:pStyle w:val="webbullet2"/>
      </w:pPr>
      <w:r w:rsidRPr="00C91927">
        <w:t xml:space="preserve">ISA 03 – Use “00” Qualifier </w:t>
      </w:r>
    </w:p>
    <w:p w14:paraId="36A737F9" w14:textId="77777777" w:rsidR="001779B7" w:rsidRPr="00C91927" w:rsidRDefault="001779B7" w:rsidP="00C91927">
      <w:pPr>
        <w:pStyle w:val="webbullet2"/>
      </w:pPr>
      <w:r w:rsidRPr="00C91927">
        <w:t xml:space="preserve">ISA 04 – 10 Spaces </w:t>
      </w:r>
    </w:p>
    <w:p w14:paraId="481B218D" w14:textId="77777777" w:rsidR="001779B7" w:rsidRPr="00C91927" w:rsidRDefault="001779B7" w:rsidP="00C91927">
      <w:pPr>
        <w:pStyle w:val="webbullet2"/>
      </w:pPr>
      <w:r w:rsidRPr="00C91927">
        <w:t xml:space="preserve">ISA 05 – Use “ZZ” Qualifier </w:t>
      </w:r>
    </w:p>
    <w:p w14:paraId="53E2ECBF" w14:textId="77777777" w:rsidR="001779B7" w:rsidRPr="00C91927" w:rsidRDefault="001779B7" w:rsidP="00C91927">
      <w:pPr>
        <w:pStyle w:val="webbullet2"/>
      </w:pPr>
      <w:r w:rsidRPr="00C91927">
        <w:t xml:space="preserve">ISA 07 – Use “27” Qualifier </w:t>
      </w:r>
    </w:p>
    <w:p w14:paraId="43A14303" w14:textId="77777777" w:rsidR="001779B7" w:rsidRPr="00C91927" w:rsidRDefault="001779B7" w:rsidP="00C91927">
      <w:pPr>
        <w:pStyle w:val="webbullet1"/>
      </w:pPr>
      <w:r w:rsidRPr="00C91927">
        <w:t>BHT recommendations for Novitas Solutions, Inc. customers:</w:t>
      </w:r>
    </w:p>
    <w:p w14:paraId="1C94ABF3" w14:textId="77777777" w:rsidR="001779B7" w:rsidRPr="00C91927" w:rsidRDefault="001779B7" w:rsidP="00C91927">
      <w:pPr>
        <w:pStyle w:val="webbullet2"/>
      </w:pPr>
      <w:r w:rsidRPr="00C91927">
        <w:t xml:space="preserve">BHT 02 – Use “00” Code </w:t>
      </w:r>
    </w:p>
    <w:p w14:paraId="0E95454C" w14:textId="77777777" w:rsidR="001779B7" w:rsidRPr="00C91927" w:rsidRDefault="001779B7" w:rsidP="00C91927">
      <w:pPr>
        <w:pStyle w:val="webbullet2"/>
      </w:pPr>
      <w:r w:rsidRPr="00C91927">
        <w:t xml:space="preserve">BHT 06 – Use “CH” Code </w:t>
      </w:r>
    </w:p>
    <w:p w14:paraId="2FCB6E27" w14:textId="77777777" w:rsidR="00240EE1" w:rsidRDefault="00240EE1" w:rsidP="00240EE1">
      <w:pPr>
        <w:pStyle w:val="webbullet1"/>
      </w:pPr>
      <w:r>
        <w:t>ST recommendations for Novitas Solution, Inc. customer:</w:t>
      </w:r>
    </w:p>
    <w:p w14:paraId="2A4D89D0" w14:textId="26795A09" w:rsidR="00240EE1" w:rsidRDefault="00240EE1" w:rsidP="00240EE1">
      <w:pPr>
        <w:pStyle w:val="webbullet2"/>
      </w:pPr>
      <w:r w:rsidRPr="00B729C1">
        <w:t>Claims in the same batch should be reported in one ST/SE segment. Submitting a different ST/SE segment per claim requires submitters to repeat the submitter and provider loops and causes delays in the processing time.</w:t>
      </w:r>
    </w:p>
    <w:p w14:paraId="0F903B0C" w14:textId="6CD35C5E" w:rsidR="001779B7" w:rsidRPr="00C91927" w:rsidRDefault="001779B7" w:rsidP="00C91927">
      <w:pPr>
        <w:pStyle w:val="webbullet1"/>
      </w:pPr>
      <w:r w:rsidRPr="00C91927">
        <w:t xml:space="preserve">Other </w:t>
      </w:r>
      <w:r w:rsidR="00240EE1">
        <w:t>r</w:t>
      </w:r>
      <w:r w:rsidRPr="00C91927">
        <w:t>ecommendations for Novitas Solutions, Inc. customers:</w:t>
      </w:r>
    </w:p>
    <w:p w14:paraId="2B35E4F2" w14:textId="379F146B" w:rsidR="0053043B" w:rsidRPr="00C91927" w:rsidRDefault="001779B7" w:rsidP="00C91927">
      <w:pPr>
        <w:pStyle w:val="webbullet2"/>
      </w:pPr>
      <w:r w:rsidRPr="00C91927">
        <w:t xml:space="preserve">Submit claims using the “First </w:t>
      </w:r>
      <w:r w:rsidR="001F6732">
        <w:t>p</w:t>
      </w:r>
      <w:r w:rsidRPr="00C91927">
        <w:t>rovider, Subscriber</w:t>
      </w:r>
      <w:r w:rsidR="00DC6B35">
        <w:t xml:space="preserve"> </w:t>
      </w:r>
      <w:r w:rsidRPr="00C91927">
        <w:t>/</w:t>
      </w:r>
      <w:r w:rsidR="00DC6B35">
        <w:t xml:space="preserve"> </w:t>
      </w:r>
      <w:r w:rsidRPr="00C91927">
        <w:t xml:space="preserve">Claim, </w:t>
      </w:r>
      <w:r w:rsidR="001F6732">
        <w:t>s</w:t>
      </w:r>
      <w:r w:rsidRPr="00C91927">
        <w:t>ubscriber</w:t>
      </w:r>
      <w:r w:rsidR="00DC6B35">
        <w:t xml:space="preserve"> </w:t>
      </w:r>
      <w:r w:rsidRPr="00C91927">
        <w:t>/</w:t>
      </w:r>
      <w:r w:rsidR="00DC6B35">
        <w:t xml:space="preserve"> </w:t>
      </w:r>
      <w:r w:rsidRPr="00C91927">
        <w:t xml:space="preserve">Claim, etc., Next </w:t>
      </w:r>
      <w:r w:rsidR="001F6732">
        <w:t>p</w:t>
      </w:r>
      <w:r w:rsidRPr="00C91927">
        <w:t xml:space="preserve">rovider” structure rather than the “All </w:t>
      </w:r>
      <w:r w:rsidR="001F6732">
        <w:t>p</w:t>
      </w:r>
      <w:r w:rsidRPr="00C91927">
        <w:t xml:space="preserve">roviders, Then </w:t>
      </w:r>
      <w:r w:rsidR="001F6732">
        <w:t>a</w:t>
      </w:r>
      <w:r w:rsidRPr="00C91927">
        <w:t xml:space="preserve">ll </w:t>
      </w:r>
      <w:r w:rsidR="001F6732">
        <w:t>s</w:t>
      </w:r>
      <w:r w:rsidRPr="00C91927">
        <w:t>ubscriber</w:t>
      </w:r>
      <w:r w:rsidR="00DC6B35">
        <w:t xml:space="preserve"> </w:t>
      </w:r>
      <w:r w:rsidRPr="00C91927">
        <w:t>/</w:t>
      </w:r>
      <w:r w:rsidR="00DC6B35">
        <w:t xml:space="preserve"> </w:t>
      </w:r>
      <w:r w:rsidRPr="00C91927">
        <w:t>Claims” or the “Provider</w:t>
      </w:r>
      <w:r w:rsidR="00DC6B35">
        <w:t xml:space="preserve"> </w:t>
      </w:r>
      <w:r w:rsidRPr="00C91927">
        <w:t>/</w:t>
      </w:r>
      <w:r w:rsidR="00DC6B35">
        <w:t xml:space="preserve"> </w:t>
      </w:r>
      <w:r w:rsidRPr="00C91927">
        <w:t xml:space="preserve">Claim, Same </w:t>
      </w:r>
      <w:r w:rsidR="001F6732">
        <w:t>p</w:t>
      </w:r>
      <w:r w:rsidRPr="00C91927">
        <w:t xml:space="preserve">rovider/Claim, </w:t>
      </w:r>
      <w:r w:rsidR="001F6732">
        <w:t>s</w:t>
      </w:r>
      <w:r w:rsidRPr="00C91927">
        <w:t xml:space="preserve">ame </w:t>
      </w:r>
      <w:r w:rsidR="001F6732">
        <w:t>p</w:t>
      </w:r>
      <w:r w:rsidRPr="00C91927">
        <w:t>rovider</w:t>
      </w:r>
      <w:r w:rsidR="00DC6B35">
        <w:t xml:space="preserve"> </w:t>
      </w:r>
      <w:r w:rsidRPr="00C91927">
        <w:t>/</w:t>
      </w:r>
      <w:r w:rsidR="00DC6B35">
        <w:t xml:space="preserve"> </w:t>
      </w:r>
      <w:r w:rsidRPr="00C91927">
        <w:t>Claim” structures.</w:t>
      </w:r>
    </w:p>
    <w:p w14:paraId="4D9CEA7C" w14:textId="2B9B5AA6" w:rsidR="001779B7" w:rsidRPr="00C91927" w:rsidRDefault="001779B7" w:rsidP="00C91927">
      <w:pPr>
        <w:pStyle w:val="webbullet2"/>
      </w:pPr>
      <w:r w:rsidRPr="00C91927">
        <w:t>N</w:t>
      </w:r>
      <w:r w:rsidR="0053043B" w:rsidRPr="00C91927">
        <w:t>ote</w:t>
      </w:r>
      <w:r w:rsidRPr="00C91927">
        <w:t xml:space="preserve">: The HL 02 (Parent ID) in the </w:t>
      </w:r>
      <w:r w:rsidR="001F6732">
        <w:t>s</w:t>
      </w:r>
      <w:r w:rsidRPr="00C91927">
        <w:t xml:space="preserve">ubscriber HL </w:t>
      </w:r>
      <w:r w:rsidR="001F6732">
        <w:t>s</w:t>
      </w:r>
      <w:r w:rsidRPr="00C91927">
        <w:t xml:space="preserve">egment should point to a valid HL 01 (Sequential </w:t>
      </w:r>
      <w:r w:rsidR="001F6732">
        <w:t>n</w:t>
      </w:r>
      <w:r w:rsidRPr="00C91927">
        <w:t xml:space="preserve">umber) in the </w:t>
      </w:r>
      <w:r w:rsidR="001F6732">
        <w:t>p</w:t>
      </w:r>
      <w:r w:rsidRPr="00C91927">
        <w:t xml:space="preserve">rovider HL </w:t>
      </w:r>
      <w:r w:rsidR="001F6732">
        <w:t>s</w:t>
      </w:r>
      <w:r w:rsidRPr="00C91927">
        <w:t xml:space="preserve">egment. </w:t>
      </w:r>
    </w:p>
    <w:p w14:paraId="17DC7755" w14:textId="5270E0EC" w:rsidR="001779B7" w:rsidRPr="00C91927" w:rsidRDefault="001779B7" w:rsidP="00C91927">
      <w:pPr>
        <w:pStyle w:val="webbullet2"/>
      </w:pPr>
      <w:r w:rsidRPr="00C91927">
        <w:t xml:space="preserve">Loop 2010AA (Billing </w:t>
      </w:r>
      <w:r w:rsidR="001F6732">
        <w:t>p</w:t>
      </w:r>
      <w:r w:rsidRPr="00C91927">
        <w:t xml:space="preserve">rovider </w:t>
      </w:r>
      <w:r w:rsidR="001F6732">
        <w:t>n</w:t>
      </w:r>
      <w:r w:rsidRPr="00C91927">
        <w:t xml:space="preserve">ame) is required and </w:t>
      </w:r>
      <w:r w:rsidR="001F6732">
        <w:t>l</w:t>
      </w:r>
      <w:r w:rsidRPr="00C91927">
        <w:t>oop 2010AB (Pay-</w:t>
      </w:r>
      <w:r w:rsidR="001F6732">
        <w:t>t</w:t>
      </w:r>
      <w:r w:rsidRPr="00C91927">
        <w:t xml:space="preserve">o </w:t>
      </w:r>
      <w:r w:rsidR="001F6732">
        <w:t>p</w:t>
      </w:r>
      <w:r w:rsidRPr="00C91927">
        <w:t xml:space="preserve">rovider </w:t>
      </w:r>
      <w:r w:rsidR="001F6732">
        <w:t>n</w:t>
      </w:r>
      <w:r w:rsidRPr="00C91927">
        <w:t xml:space="preserve">ame) is situational. Therefore, </w:t>
      </w:r>
      <w:r w:rsidR="001F6732">
        <w:t>l</w:t>
      </w:r>
      <w:r w:rsidRPr="00C91927">
        <w:t xml:space="preserve">oop 2010AA can be reported alone or in conjunction with </w:t>
      </w:r>
      <w:r w:rsidR="001F6732">
        <w:t>l</w:t>
      </w:r>
      <w:r w:rsidRPr="00C91927">
        <w:t xml:space="preserve">oop 2010AB. </w:t>
      </w:r>
      <w:r w:rsidR="00240EE1" w:rsidRPr="00C91927">
        <w:t>However,</w:t>
      </w:r>
      <w:r w:rsidRPr="00C91927">
        <w:t xml:space="preserve"> if you chose to send your P.O. Box address in the file, it must be submitted in </w:t>
      </w:r>
      <w:r w:rsidR="001F6732">
        <w:t>l</w:t>
      </w:r>
      <w:r w:rsidRPr="00C91927">
        <w:t xml:space="preserve">oop 2010AB not the 2010AA Loop. </w:t>
      </w:r>
    </w:p>
    <w:p w14:paraId="7FDABB03" w14:textId="6A2417EE" w:rsidR="001779B7" w:rsidRPr="00C91927" w:rsidRDefault="001779B7" w:rsidP="00C91927">
      <w:pPr>
        <w:pStyle w:val="webbullet2"/>
      </w:pPr>
      <w:r w:rsidRPr="00C91927">
        <w:t xml:space="preserve">If you do not need to report the Provider Taxonomy Code, then the following is not required. If the </w:t>
      </w:r>
      <w:r w:rsidR="001F6732">
        <w:t>b</w:t>
      </w:r>
      <w:r w:rsidRPr="00C91927">
        <w:t>illing or</w:t>
      </w:r>
      <w:r w:rsidR="001F6732">
        <w:t xml:space="preserve"> p</w:t>
      </w:r>
      <w:r w:rsidRPr="00C91927">
        <w:t>ay-</w:t>
      </w:r>
      <w:r w:rsidR="001F6732">
        <w:t>t</w:t>
      </w:r>
      <w:r w:rsidRPr="00C91927">
        <w:t xml:space="preserve">o </w:t>
      </w:r>
      <w:r w:rsidR="001F6732">
        <w:t>p</w:t>
      </w:r>
      <w:r w:rsidRPr="00C91927">
        <w:t xml:space="preserve">rovider in </w:t>
      </w:r>
      <w:r w:rsidR="001F6732">
        <w:t>l</w:t>
      </w:r>
      <w:r w:rsidRPr="00C91927">
        <w:t>oop 2010AA</w:t>
      </w:r>
      <w:r w:rsidR="00DC6B35">
        <w:t xml:space="preserve"> </w:t>
      </w:r>
      <w:r w:rsidRPr="00C91927">
        <w:t>/</w:t>
      </w:r>
      <w:r w:rsidR="00DC6B35">
        <w:t xml:space="preserve"> </w:t>
      </w:r>
      <w:r w:rsidRPr="00C91927">
        <w:t xml:space="preserve">2010AB is an individual provider (not a group) and you need to report the Provider Taxonomy Code, then the PRV </w:t>
      </w:r>
      <w:r w:rsidR="001F6732">
        <w:t>s</w:t>
      </w:r>
      <w:r w:rsidRPr="00C91927">
        <w:t xml:space="preserve">egment in </w:t>
      </w:r>
      <w:r w:rsidR="001F6732">
        <w:t>l</w:t>
      </w:r>
      <w:r w:rsidRPr="00C91927">
        <w:t xml:space="preserve">oop 2000A is required. If the </w:t>
      </w:r>
      <w:r w:rsidR="001F6732">
        <w:t>b</w:t>
      </w:r>
      <w:r w:rsidRPr="00C91927">
        <w:t xml:space="preserve">illing or </w:t>
      </w:r>
      <w:r w:rsidR="001F6732">
        <w:t>p</w:t>
      </w:r>
      <w:r w:rsidRPr="00C91927">
        <w:t>ay-</w:t>
      </w:r>
      <w:r w:rsidR="001F6732">
        <w:t>t</w:t>
      </w:r>
      <w:r w:rsidRPr="00C91927">
        <w:t xml:space="preserve">o </w:t>
      </w:r>
      <w:r w:rsidR="001F6732">
        <w:t>p</w:t>
      </w:r>
      <w:r w:rsidRPr="00C91927">
        <w:t xml:space="preserve">rovider in </w:t>
      </w:r>
      <w:r w:rsidR="001F6732">
        <w:t>l</w:t>
      </w:r>
      <w:r w:rsidRPr="00C91927">
        <w:t>oop 2010AA</w:t>
      </w:r>
      <w:r w:rsidR="00DC6B35">
        <w:t xml:space="preserve"> </w:t>
      </w:r>
      <w:r w:rsidRPr="00C91927">
        <w:t>/</w:t>
      </w:r>
      <w:r w:rsidR="00DC6B35">
        <w:t xml:space="preserve"> </w:t>
      </w:r>
      <w:r w:rsidRPr="00C91927">
        <w:t xml:space="preserve">2010AB is a group and you need to report the Provider Taxonomy Code, then the PRV </w:t>
      </w:r>
      <w:r w:rsidR="001F6732">
        <w:t>s</w:t>
      </w:r>
      <w:r w:rsidRPr="00C91927">
        <w:t xml:space="preserve">egment should be reported in </w:t>
      </w:r>
      <w:r w:rsidR="001F6732">
        <w:t>l</w:t>
      </w:r>
      <w:r w:rsidRPr="00C91927">
        <w:t xml:space="preserve">oop 2310B (not in </w:t>
      </w:r>
      <w:r w:rsidR="001F6732">
        <w:t>l</w:t>
      </w:r>
      <w:r w:rsidRPr="00C91927">
        <w:t xml:space="preserve">oop 2000A). </w:t>
      </w:r>
    </w:p>
    <w:p w14:paraId="054558B5" w14:textId="59B478AE" w:rsidR="00971CF9" w:rsidRPr="00C91927" w:rsidRDefault="001779B7" w:rsidP="00C91927">
      <w:pPr>
        <w:pStyle w:val="webbullet2"/>
      </w:pPr>
      <w:r w:rsidRPr="00C91927">
        <w:t xml:space="preserve">In Medicare, the Subscriber is always the </w:t>
      </w:r>
      <w:r w:rsidR="001F6732">
        <w:t>p</w:t>
      </w:r>
      <w:r w:rsidRPr="00C91927">
        <w:t xml:space="preserve">atient. Therefore, loop 2000C and loop 2010CA should not be reported or a rejection will occur on the </w:t>
      </w:r>
      <w:r w:rsidR="0053043B" w:rsidRPr="00C91927">
        <w:t xml:space="preserve">277 </w:t>
      </w:r>
      <w:r w:rsidRPr="00C91927">
        <w:t>Claims Acknowledgement</w:t>
      </w:r>
      <w:r w:rsidR="001F4969" w:rsidRPr="00C91927">
        <w:t xml:space="preserve"> (277CA)</w:t>
      </w:r>
      <w:r w:rsidRPr="00C91927">
        <w:t xml:space="preserve">. </w:t>
      </w:r>
      <w:r w:rsidR="00971CF9" w:rsidRPr="00C91927">
        <w:t xml:space="preserve">The SBR02 (individual relationship) </w:t>
      </w:r>
      <w:r w:rsidR="00B05858" w:rsidRPr="00C91927">
        <w:t>must</w:t>
      </w:r>
      <w:r w:rsidR="00971CF9" w:rsidRPr="00C91927">
        <w:t xml:space="preserve"> be reported as “18”.</w:t>
      </w:r>
    </w:p>
    <w:p w14:paraId="5068B98C" w14:textId="77777777" w:rsidR="00971CF9" w:rsidRPr="00C91927" w:rsidRDefault="00971CF9" w:rsidP="00C91927">
      <w:pPr>
        <w:pStyle w:val="webbullet2"/>
      </w:pPr>
      <w:r w:rsidRPr="00C91927">
        <w:t>For test files, the ISA15 must be “T”.</w:t>
      </w:r>
    </w:p>
    <w:p w14:paraId="5CA306A0" w14:textId="467C0208" w:rsidR="001779B7" w:rsidRPr="00C91927" w:rsidRDefault="001779B7" w:rsidP="00C91927">
      <w:pPr>
        <w:pStyle w:val="webbullet2"/>
      </w:pPr>
      <w:r w:rsidRPr="00C91927">
        <w:t xml:space="preserve">The </w:t>
      </w:r>
      <w:r w:rsidR="001F6732">
        <w:t>p</w:t>
      </w:r>
      <w:r w:rsidRPr="00C91927">
        <w:t xml:space="preserve">atient </w:t>
      </w:r>
      <w:r w:rsidR="001F6732">
        <w:t>a</w:t>
      </w:r>
      <w:r w:rsidRPr="00C91927">
        <w:t xml:space="preserve">ccount </w:t>
      </w:r>
      <w:r w:rsidR="001F6732">
        <w:t>n</w:t>
      </w:r>
      <w:r w:rsidRPr="00C91927">
        <w:t>umber in Loop 2300 CLM 01 has a minimum</w:t>
      </w:r>
      <w:r w:rsidR="00DC6B35">
        <w:t xml:space="preserve"> </w:t>
      </w:r>
      <w:r w:rsidRPr="00C91927">
        <w:t>/</w:t>
      </w:r>
      <w:r w:rsidR="00DC6B35">
        <w:t xml:space="preserve"> </w:t>
      </w:r>
      <w:r w:rsidRPr="00C91927">
        <w:t xml:space="preserve">maximum of 1/38 and a reference note indicates that only 20 bytes are available for this data element. However, the Medicare claims processing system can only accept 17 bytes. Therefore, 20 bytes can be reported, but only 17 bytes will be accepted and returned on the </w:t>
      </w:r>
      <w:r w:rsidR="001F6732">
        <w:t>e</w:t>
      </w:r>
      <w:r w:rsidR="0053043B" w:rsidRPr="00C91927">
        <w:t xml:space="preserve">lectronic </w:t>
      </w:r>
      <w:r w:rsidR="001F6732">
        <w:t>r</w:t>
      </w:r>
      <w:r w:rsidR="0053043B" w:rsidRPr="00C91927">
        <w:t xml:space="preserve">emittance </w:t>
      </w:r>
      <w:r w:rsidR="001F6732">
        <w:t>a</w:t>
      </w:r>
      <w:r w:rsidR="0053043B" w:rsidRPr="00C91927">
        <w:t>dvice</w:t>
      </w:r>
      <w:r w:rsidR="001F4969" w:rsidRPr="00C91927">
        <w:t xml:space="preserve"> (ERA)</w:t>
      </w:r>
      <w:r w:rsidRPr="00C91927">
        <w:t xml:space="preserve">. </w:t>
      </w:r>
    </w:p>
    <w:p w14:paraId="75420F00" w14:textId="1783A275" w:rsidR="001779B7" w:rsidRPr="00C91927" w:rsidRDefault="001779B7" w:rsidP="00C91927">
      <w:pPr>
        <w:pStyle w:val="webbullet2"/>
      </w:pPr>
      <w:r w:rsidRPr="00C91927">
        <w:t xml:space="preserve">Referring </w:t>
      </w:r>
      <w:r w:rsidR="001F6732">
        <w:t>p</w:t>
      </w:r>
      <w:r w:rsidRPr="00C91927">
        <w:t xml:space="preserve">hysician information should be reported, as needed, in either Loop 2310A or </w:t>
      </w:r>
      <w:r w:rsidR="001F6732">
        <w:t>l</w:t>
      </w:r>
      <w:r w:rsidRPr="00C91927">
        <w:t xml:space="preserve">oop 2420F. When </w:t>
      </w:r>
      <w:r w:rsidR="001F6732">
        <w:t>r</w:t>
      </w:r>
      <w:r w:rsidRPr="00C91927">
        <w:t xml:space="preserve">eferring </w:t>
      </w:r>
      <w:r w:rsidR="001F6732">
        <w:t>p</w:t>
      </w:r>
      <w:r w:rsidRPr="00C91927">
        <w:t>hysician information is reported, make sure the Na</w:t>
      </w:r>
      <w:r w:rsidR="0053043B" w:rsidRPr="00C91927">
        <w:t xml:space="preserve">tional </w:t>
      </w:r>
      <w:r w:rsidR="0053043B" w:rsidRPr="00C91927">
        <w:lastRenderedPageBreak/>
        <w:t>Provider Identification</w:t>
      </w:r>
      <w:r w:rsidR="001F4969" w:rsidRPr="00C91927">
        <w:t xml:space="preserve"> (NPI)</w:t>
      </w:r>
      <w:r w:rsidRPr="00C91927">
        <w:t xml:space="preserve"> number is reported in the NM1 </w:t>
      </w:r>
      <w:r w:rsidR="001F6732">
        <w:t>s</w:t>
      </w:r>
      <w:r w:rsidRPr="00C91927">
        <w:t>egment, with a “XX” qualifier in NM108.</w:t>
      </w:r>
      <w:r w:rsidR="0053043B" w:rsidRPr="00C91927">
        <w:t xml:space="preserve"> </w:t>
      </w:r>
    </w:p>
    <w:p w14:paraId="4749A350" w14:textId="77777777" w:rsidR="009F56E6" w:rsidRDefault="009F56E6" w:rsidP="00C91927">
      <w:pPr>
        <w:pStyle w:val="webbullet2"/>
      </w:pPr>
      <w:r>
        <w:t>For incoming claim files sent zipped, the file name should not have the spaces or special characters.</w:t>
      </w:r>
    </w:p>
    <w:p w14:paraId="02465BE7" w14:textId="2E1A868B" w:rsidR="001779B7" w:rsidRPr="00C91927" w:rsidRDefault="001779B7" w:rsidP="00C91927">
      <w:pPr>
        <w:pStyle w:val="webbullet2"/>
      </w:pPr>
      <w:r w:rsidRPr="00C91927">
        <w:t xml:space="preserve">Incoming file names </w:t>
      </w:r>
      <w:r w:rsidR="009F56E6">
        <w:t xml:space="preserve">for non-zipped files </w:t>
      </w:r>
      <w:r w:rsidRPr="00C91927">
        <w:t>should not include an apostrophe (‘) as this causes errors in the file being received</w:t>
      </w:r>
      <w:r w:rsidR="009F56E6">
        <w:t>.</w:t>
      </w:r>
      <w:r w:rsidRPr="00C91927">
        <w:t xml:space="preserve"> </w:t>
      </w:r>
    </w:p>
    <w:p w14:paraId="60406BC8" w14:textId="77777777" w:rsidR="00FF4337" w:rsidRPr="00C91927" w:rsidRDefault="00FF4337" w:rsidP="00C91927">
      <w:pPr>
        <w:pStyle w:val="webbullet2"/>
      </w:pPr>
      <w:r w:rsidRPr="00C91927">
        <w:t xml:space="preserve">Zip codes reported must match the correct Zip code for the city and state reported. These may be verified on the </w:t>
      </w:r>
      <w:hyperlink r:id="rId13" w:tgtFrame="_blank" w:history="1">
        <w:r w:rsidRPr="00C91927">
          <w:rPr>
            <w:rStyle w:val="Hyperlink"/>
          </w:rPr>
          <w:t>USPS Zip Code lookup.</w:t>
        </w:r>
      </w:hyperlink>
    </w:p>
    <w:p w14:paraId="2273C0B6" w14:textId="6EBBAE2F" w:rsidR="00FF4337" w:rsidRDefault="00FF4337" w:rsidP="00C91927">
      <w:pPr>
        <w:pStyle w:val="webbullet2"/>
      </w:pPr>
      <w:r w:rsidRPr="00C91927">
        <w:t xml:space="preserve">The </w:t>
      </w:r>
      <w:r w:rsidR="001F6732">
        <w:t>p</w:t>
      </w:r>
      <w:r w:rsidRPr="00C91927">
        <w:t xml:space="preserve">atients </w:t>
      </w:r>
      <w:r w:rsidR="00DC6B35">
        <w:t xml:space="preserve">Medicare ID </w:t>
      </w:r>
      <w:r w:rsidR="001F6732">
        <w:t>n</w:t>
      </w:r>
      <w:r w:rsidR="00DC6B35">
        <w:t>umber</w:t>
      </w:r>
      <w:r w:rsidRPr="00C91927">
        <w:t xml:space="preserve"> </w:t>
      </w:r>
      <w:r w:rsidR="00E10EA1">
        <w:t>must match the Medicare card,</w:t>
      </w:r>
      <w:r w:rsidRPr="00C91927">
        <w:t xml:space="preserve"> or a 277CA rejection will occur.</w:t>
      </w:r>
      <w:r w:rsidR="0053043B" w:rsidRPr="00C91927">
        <w:t xml:space="preserve"> </w:t>
      </w:r>
    </w:p>
    <w:p w14:paraId="4DB4C38F" w14:textId="311632AB" w:rsidR="00E10EA1" w:rsidRDefault="00E10EA1" w:rsidP="00C91927">
      <w:pPr>
        <w:pStyle w:val="webbullet2"/>
      </w:pPr>
      <w:r>
        <w:t>Trai</w:t>
      </w:r>
      <w:r w:rsidR="007F0A0E">
        <w:t>l</w:t>
      </w:r>
      <w:r>
        <w:t>ing spaces should not be reported in any field. Claims with trai</w:t>
      </w:r>
      <w:r w:rsidR="007F0A0E">
        <w:t>l</w:t>
      </w:r>
      <w:r>
        <w:t>ing spaces will receive a 999 rejection.</w:t>
      </w:r>
    </w:p>
    <w:p w14:paraId="2ABF1CB1" w14:textId="3BA28BAF" w:rsidR="00E10EA1" w:rsidRPr="00C91927" w:rsidRDefault="00E10EA1" w:rsidP="00C91927">
      <w:pPr>
        <w:pStyle w:val="webbullet2"/>
      </w:pPr>
      <w:r>
        <w:t>Leading zeros should not be reported in the Units field. Claims with a leading zero will receive a 999 rejection.</w:t>
      </w:r>
    </w:p>
    <w:p w14:paraId="00BC80AE" w14:textId="664390FA" w:rsidR="00F02C2A" w:rsidRPr="00C91927" w:rsidRDefault="0053043B" w:rsidP="00C91927">
      <w:pPr>
        <w:pStyle w:val="webbullet2"/>
      </w:pPr>
      <w:r w:rsidRPr="00C91927">
        <w:t xml:space="preserve">Medicare </w:t>
      </w:r>
      <w:r w:rsidR="001F6732">
        <w:t>s</w:t>
      </w:r>
      <w:r w:rsidRPr="00C91927">
        <w:t xml:space="preserve">econdary </w:t>
      </w:r>
      <w:r w:rsidR="001F6732">
        <w:t>p</w:t>
      </w:r>
      <w:r w:rsidRPr="00C91927">
        <w:t>ayer</w:t>
      </w:r>
      <w:r w:rsidR="00FF4337" w:rsidRPr="00C91927">
        <w:t xml:space="preserve"> </w:t>
      </w:r>
      <w:r w:rsidR="001F4969" w:rsidRPr="00C91927">
        <w:t xml:space="preserve">(MSP) </w:t>
      </w:r>
      <w:r w:rsidR="00FF4337" w:rsidRPr="00C91927">
        <w:t>claims must balance to be sent to the processing</w:t>
      </w:r>
      <w:r w:rsidR="00C91927">
        <w:t>.</w:t>
      </w:r>
      <w:r w:rsidR="00FF4337" w:rsidRPr="00C91927">
        <w:t xml:space="preserve"> </w:t>
      </w:r>
    </w:p>
    <w:p w14:paraId="5AA14689" w14:textId="77777777" w:rsidR="00A8480F" w:rsidRPr="00C91927" w:rsidRDefault="0053043B" w:rsidP="00C91927">
      <w:pPr>
        <w:pStyle w:val="webheader2"/>
      </w:pPr>
      <w:bookmarkStart w:id="4" w:name="4"/>
      <w:r w:rsidRPr="00C91927">
        <w:t xml:space="preserve">MSP </w:t>
      </w:r>
    </w:p>
    <w:p w14:paraId="781BDFDE" w14:textId="77777777" w:rsidR="000043C8" w:rsidRPr="00C91927" w:rsidRDefault="000043C8" w:rsidP="00C91927">
      <w:pPr>
        <w:pStyle w:val="webbullet1"/>
      </w:pPr>
      <w:r w:rsidRPr="00C91927">
        <w:t>When Medicare is not the primary insurance listed on the beneficiary’s</w:t>
      </w:r>
      <w:r w:rsidR="001F4969" w:rsidRPr="00C91927">
        <w:t xml:space="preserve"> </w:t>
      </w:r>
      <w:r w:rsidR="0053043B" w:rsidRPr="00C91927">
        <w:t>Coordination of Benefits</w:t>
      </w:r>
      <w:r w:rsidR="001F4969" w:rsidRPr="00C91927">
        <w:t xml:space="preserve"> (COB)</w:t>
      </w:r>
      <w:r w:rsidRPr="00C91927">
        <w:t>, processing falls under MSP</w:t>
      </w:r>
      <w:r w:rsidR="0053043B" w:rsidRPr="00C91927">
        <w:t xml:space="preserve"> </w:t>
      </w:r>
      <w:r w:rsidRPr="00C91927">
        <w:t xml:space="preserve">guidelines. </w:t>
      </w:r>
    </w:p>
    <w:p w14:paraId="606834BE" w14:textId="4B0E66BF" w:rsidR="000043C8" w:rsidRPr="00C91927" w:rsidRDefault="000043C8" w:rsidP="00C91927">
      <w:pPr>
        <w:pStyle w:val="webbullet1"/>
      </w:pPr>
      <w:r w:rsidRPr="00C91927">
        <w:t xml:space="preserve">MSP claims must balance to be sent to the processing system. This is verified by confirming that the </w:t>
      </w:r>
      <w:r w:rsidR="001F6732">
        <w:t>a</w:t>
      </w:r>
      <w:r w:rsidRPr="00C91927">
        <w:t xml:space="preserve">djudication </w:t>
      </w:r>
      <w:r w:rsidR="001F6732">
        <w:t>i</w:t>
      </w:r>
      <w:r w:rsidRPr="00C91927">
        <w:t xml:space="preserve">nformation (CAS segments) and the primary paid amount equal the total charge that is reported in the 2300 </w:t>
      </w:r>
      <w:r w:rsidR="001F6732">
        <w:t>l</w:t>
      </w:r>
      <w:r w:rsidRPr="00C91927">
        <w:t xml:space="preserve">oop, CLM-02. </w:t>
      </w:r>
    </w:p>
    <w:p w14:paraId="18BC48D9" w14:textId="745B8AA0" w:rsidR="000043C8" w:rsidRPr="00C91927" w:rsidRDefault="000043C8" w:rsidP="00C91927">
      <w:pPr>
        <w:pStyle w:val="webbullet2"/>
      </w:pPr>
      <w:r w:rsidRPr="00C91927">
        <w:t xml:space="preserve">MSP guidelines for Coordination of Benefits are listed in </w:t>
      </w:r>
      <w:r w:rsidR="00B05858" w:rsidRPr="00C91927">
        <w:t xml:space="preserve">on the Claims Center under </w:t>
      </w:r>
      <w:hyperlink r:id="rId14" w:history="1">
        <w:r w:rsidR="00B05858" w:rsidRPr="00C91927">
          <w:rPr>
            <w:rStyle w:val="Hyperlink"/>
          </w:rPr>
          <w:t xml:space="preserve">Medicare </w:t>
        </w:r>
        <w:r w:rsidR="007451B4">
          <w:rPr>
            <w:rStyle w:val="Hyperlink"/>
          </w:rPr>
          <w:t>s</w:t>
        </w:r>
        <w:r w:rsidR="00B05858" w:rsidRPr="00C91927">
          <w:rPr>
            <w:rStyle w:val="Hyperlink"/>
          </w:rPr>
          <w:t xml:space="preserve">econdary </w:t>
        </w:r>
        <w:r w:rsidR="007451B4">
          <w:rPr>
            <w:rStyle w:val="Hyperlink"/>
          </w:rPr>
          <w:t>p</w:t>
        </w:r>
        <w:r w:rsidR="00B05858" w:rsidRPr="00C91927">
          <w:rPr>
            <w:rStyle w:val="Hyperlink"/>
          </w:rPr>
          <w:t>ayer</w:t>
        </w:r>
      </w:hyperlink>
      <w:r w:rsidR="00B05858" w:rsidRPr="00C91927">
        <w:t>.</w:t>
      </w:r>
    </w:p>
    <w:p w14:paraId="0A436EEC" w14:textId="77777777" w:rsidR="00A8480F" w:rsidRPr="00C91927" w:rsidRDefault="000043C8" w:rsidP="00C91927">
      <w:pPr>
        <w:pStyle w:val="webbullet2"/>
      </w:pPr>
      <w:r w:rsidRPr="00C91927">
        <w:t xml:space="preserve">Additional information on balancing can </w:t>
      </w:r>
      <w:proofErr w:type="gramStart"/>
      <w:r w:rsidRPr="00C91927">
        <w:t>be located in</w:t>
      </w:r>
      <w:proofErr w:type="gramEnd"/>
      <w:r w:rsidRPr="00C91927">
        <w:t xml:space="preserve"> </w:t>
      </w:r>
      <w:hyperlink r:id="rId15" w:history="1">
        <w:r w:rsidRPr="00C91927">
          <w:rPr>
            <w:rStyle w:val="Hyperlink"/>
          </w:rPr>
          <w:t>Chapter 1</w:t>
        </w:r>
        <w:r w:rsidR="00D73C75">
          <w:rPr>
            <w:rStyle w:val="Hyperlink"/>
          </w:rPr>
          <w:t>1</w:t>
        </w:r>
      </w:hyperlink>
      <w:r w:rsidRPr="00C91927">
        <w:t xml:space="preserve"> of the EDI Billing Guide</w:t>
      </w:r>
      <w:r w:rsidR="00B05858" w:rsidRPr="00C91927">
        <w:t>.</w:t>
      </w:r>
    </w:p>
    <w:p w14:paraId="58030F27" w14:textId="2CFF71D7" w:rsidR="001779B7" w:rsidRPr="00C91927" w:rsidRDefault="001F4969" w:rsidP="00C91927">
      <w:pPr>
        <w:pStyle w:val="webheader2"/>
      </w:pPr>
      <w:r w:rsidRPr="00C91927">
        <w:t>NPI</w:t>
      </w:r>
      <w:r w:rsidR="001779B7" w:rsidRPr="00C91927">
        <w:t xml:space="preserve"> </w:t>
      </w:r>
      <w:r w:rsidR="001F6732">
        <w:t>n</w:t>
      </w:r>
      <w:r w:rsidR="001779B7" w:rsidRPr="00C91927">
        <w:t xml:space="preserve">umbers for </w:t>
      </w:r>
      <w:r w:rsidR="001F6732">
        <w:t>v</w:t>
      </w:r>
      <w:r w:rsidR="001779B7" w:rsidRPr="00C91927">
        <w:t xml:space="preserve">endor </w:t>
      </w:r>
      <w:r w:rsidR="001F6732">
        <w:t>t</w:t>
      </w:r>
      <w:r w:rsidR="001779B7" w:rsidRPr="00C91927">
        <w:t>esting</w:t>
      </w:r>
      <w:bookmarkEnd w:id="4"/>
    </w:p>
    <w:p w14:paraId="08692696" w14:textId="77777777" w:rsidR="001779B7" w:rsidRPr="00C91927" w:rsidRDefault="001779B7" w:rsidP="00C91927">
      <w:pPr>
        <w:pStyle w:val="webbullet1"/>
      </w:pPr>
      <w:r w:rsidRPr="00C91927">
        <w:t xml:space="preserve">Vendors may use their client’s NPI number for testing purposes. Vendors must contact the Novitas Solutions, Inc. EDI Help Desk to add the NPI to their testing submitter </w:t>
      </w:r>
      <w:r w:rsidR="0053043B" w:rsidRPr="00C91927">
        <w:t xml:space="preserve">ID </w:t>
      </w:r>
      <w:r w:rsidRPr="00C91927">
        <w:t>number. Once testing is complete, the NPI number will be removed from the vendor’s testing submitter ID.</w:t>
      </w:r>
    </w:p>
    <w:sectPr w:rsidR="001779B7" w:rsidRPr="00C91927"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B658F"/>
    <w:multiLevelType w:val="multilevel"/>
    <w:tmpl w:val="BC5A7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872BB1"/>
    <w:multiLevelType w:val="multilevel"/>
    <w:tmpl w:val="AF98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B3EBF"/>
    <w:multiLevelType w:val="multilevel"/>
    <w:tmpl w:val="ABB8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C77F6"/>
    <w:multiLevelType w:val="multilevel"/>
    <w:tmpl w:val="D090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D2F3C"/>
    <w:multiLevelType w:val="hybridMultilevel"/>
    <w:tmpl w:val="A35A279E"/>
    <w:lvl w:ilvl="0" w:tplc="D4FED34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653E5"/>
    <w:multiLevelType w:val="multilevel"/>
    <w:tmpl w:val="A4BA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801C9"/>
    <w:multiLevelType w:val="multilevel"/>
    <w:tmpl w:val="62640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9A396F"/>
    <w:multiLevelType w:val="multilevel"/>
    <w:tmpl w:val="390A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6307C"/>
    <w:multiLevelType w:val="hybridMultilevel"/>
    <w:tmpl w:val="6AD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12DAB"/>
    <w:multiLevelType w:val="multilevel"/>
    <w:tmpl w:val="65C49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C6572"/>
    <w:multiLevelType w:val="hybridMultilevel"/>
    <w:tmpl w:val="A97A1AC8"/>
    <w:lvl w:ilvl="0" w:tplc="D4FED3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06B2D"/>
    <w:multiLevelType w:val="multilevel"/>
    <w:tmpl w:val="BC966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341220"/>
    <w:multiLevelType w:val="hybridMultilevel"/>
    <w:tmpl w:val="C80C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2724344">
    <w:abstractNumId w:val="11"/>
  </w:num>
  <w:num w:numId="2" w16cid:durableId="1029571102">
    <w:abstractNumId w:val="20"/>
  </w:num>
  <w:num w:numId="3" w16cid:durableId="1367216508">
    <w:abstractNumId w:val="10"/>
  </w:num>
  <w:num w:numId="4" w16cid:durableId="1552883277">
    <w:abstractNumId w:val="29"/>
  </w:num>
  <w:num w:numId="5" w16cid:durableId="995576711">
    <w:abstractNumId w:val="18"/>
  </w:num>
  <w:num w:numId="6" w16cid:durableId="1247493145">
    <w:abstractNumId w:val="27"/>
  </w:num>
  <w:num w:numId="7" w16cid:durableId="1736854913">
    <w:abstractNumId w:val="18"/>
  </w:num>
  <w:num w:numId="8" w16cid:durableId="620573664">
    <w:abstractNumId w:val="29"/>
  </w:num>
  <w:num w:numId="9" w16cid:durableId="1054424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4835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2528613">
    <w:abstractNumId w:val="11"/>
  </w:num>
  <w:num w:numId="12" w16cid:durableId="31930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940901">
    <w:abstractNumId w:val="9"/>
  </w:num>
  <w:num w:numId="14" w16cid:durableId="713193502">
    <w:abstractNumId w:val="7"/>
  </w:num>
  <w:num w:numId="15" w16cid:durableId="1264802854">
    <w:abstractNumId w:val="6"/>
  </w:num>
  <w:num w:numId="16" w16cid:durableId="505292303">
    <w:abstractNumId w:val="5"/>
  </w:num>
  <w:num w:numId="17" w16cid:durableId="857086234">
    <w:abstractNumId w:val="4"/>
  </w:num>
  <w:num w:numId="18" w16cid:durableId="158542975">
    <w:abstractNumId w:val="8"/>
  </w:num>
  <w:num w:numId="19" w16cid:durableId="1268276736">
    <w:abstractNumId w:val="3"/>
  </w:num>
  <w:num w:numId="20" w16cid:durableId="907150697">
    <w:abstractNumId w:val="2"/>
  </w:num>
  <w:num w:numId="21" w16cid:durableId="1541211394">
    <w:abstractNumId w:val="1"/>
  </w:num>
  <w:num w:numId="22" w16cid:durableId="990905386">
    <w:abstractNumId w:val="0"/>
  </w:num>
  <w:num w:numId="23" w16cid:durableId="2038970669">
    <w:abstractNumId w:val="28"/>
  </w:num>
  <w:num w:numId="24" w16cid:durableId="820847157">
    <w:abstractNumId w:val="17"/>
  </w:num>
  <w:num w:numId="25" w16cid:durableId="1827740186">
    <w:abstractNumId w:val="25"/>
  </w:num>
  <w:num w:numId="26" w16cid:durableId="400519848">
    <w:abstractNumId w:val="14"/>
  </w:num>
  <w:num w:numId="27" w16cid:durableId="376662440">
    <w:abstractNumId w:val="13"/>
  </w:num>
  <w:num w:numId="28" w16cid:durableId="1754735918">
    <w:abstractNumId w:val="15"/>
  </w:num>
  <w:num w:numId="29" w16cid:durableId="1527675634">
    <w:abstractNumId w:val="19"/>
  </w:num>
  <w:num w:numId="30" w16cid:durableId="135488340">
    <w:abstractNumId w:val="12"/>
  </w:num>
  <w:num w:numId="31" w16cid:durableId="1134447989">
    <w:abstractNumId w:val="23"/>
  </w:num>
  <w:num w:numId="32" w16cid:durableId="379745451">
    <w:abstractNumId w:val="21"/>
  </w:num>
  <w:num w:numId="33" w16cid:durableId="1209954008">
    <w:abstractNumId w:val="26"/>
  </w:num>
  <w:num w:numId="34" w16cid:durableId="58405997">
    <w:abstractNumId w:val="22"/>
  </w:num>
  <w:num w:numId="35" w16cid:durableId="1052584789">
    <w:abstractNumId w:val="24"/>
  </w:num>
  <w:num w:numId="36" w16cid:durableId="43340541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2A"/>
    <w:rsid w:val="000043C8"/>
    <w:rsid w:val="000A2010"/>
    <w:rsid w:val="000B06AA"/>
    <w:rsid w:val="000C1D4A"/>
    <w:rsid w:val="00130DF9"/>
    <w:rsid w:val="00145DCD"/>
    <w:rsid w:val="00153E13"/>
    <w:rsid w:val="00154453"/>
    <w:rsid w:val="00157BBA"/>
    <w:rsid w:val="001779B7"/>
    <w:rsid w:val="001852FE"/>
    <w:rsid w:val="001A0AB9"/>
    <w:rsid w:val="001C4E73"/>
    <w:rsid w:val="001F4969"/>
    <w:rsid w:val="001F6732"/>
    <w:rsid w:val="00202A27"/>
    <w:rsid w:val="00240EE1"/>
    <w:rsid w:val="00272E35"/>
    <w:rsid w:val="00391469"/>
    <w:rsid w:val="00415E38"/>
    <w:rsid w:val="004162AE"/>
    <w:rsid w:val="004537B1"/>
    <w:rsid w:val="004714B0"/>
    <w:rsid w:val="0049375B"/>
    <w:rsid w:val="004C11C8"/>
    <w:rsid w:val="0053043B"/>
    <w:rsid w:val="00632C35"/>
    <w:rsid w:val="00690182"/>
    <w:rsid w:val="00691F2B"/>
    <w:rsid w:val="006E3869"/>
    <w:rsid w:val="0073246D"/>
    <w:rsid w:val="0073729C"/>
    <w:rsid w:val="007451B4"/>
    <w:rsid w:val="007925FC"/>
    <w:rsid w:val="007B479D"/>
    <w:rsid w:val="007D24BF"/>
    <w:rsid w:val="007F0A0E"/>
    <w:rsid w:val="00803F9D"/>
    <w:rsid w:val="008123FC"/>
    <w:rsid w:val="0084393D"/>
    <w:rsid w:val="0085133A"/>
    <w:rsid w:val="00861C2B"/>
    <w:rsid w:val="0088323E"/>
    <w:rsid w:val="008A0E01"/>
    <w:rsid w:val="008D4E11"/>
    <w:rsid w:val="008F343B"/>
    <w:rsid w:val="009312AD"/>
    <w:rsid w:val="00971CF9"/>
    <w:rsid w:val="009811F7"/>
    <w:rsid w:val="00986FB4"/>
    <w:rsid w:val="009C0306"/>
    <w:rsid w:val="009D4A64"/>
    <w:rsid w:val="009F56E6"/>
    <w:rsid w:val="00A8480F"/>
    <w:rsid w:val="00AD60F4"/>
    <w:rsid w:val="00AE580C"/>
    <w:rsid w:val="00B05858"/>
    <w:rsid w:val="00B2746C"/>
    <w:rsid w:val="00B82660"/>
    <w:rsid w:val="00BE35C1"/>
    <w:rsid w:val="00C16A79"/>
    <w:rsid w:val="00C261AE"/>
    <w:rsid w:val="00C719C3"/>
    <w:rsid w:val="00C91927"/>
    <w:rsid w:val="00D05EB8"/>
    <w:rsid w:val="00D11DDE"/>
    <w:rsid w:val="00D73C75"/>
    <w:rsid w:val="00DC6B35"/>
    <w:rsid w:val="00E10EA1"/>
    <w:rsid w:val="00E26D5E"/>
    <w:rsid w:val="00E60C0C"/>
    <w:rsid w:val="00E635D6"/>
    <w:rsid w:val="00EA68CB"/>
    <w:rsid w:val="00F02C2A"/>
    <w:rsid w:val="00F23054"/>
    <w:rsid w:val="00FC3EBB"/>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9C526"/>
  <w15:docId w15:val="{680BD816-335E-416F-B140-CEA70145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F02C2A"/>
    <w:rPr>
      <w:rFonts w:ascii="Times New Roman" w:hAnsi="Times New Roman"/>
      <w:sz w:val="24"/>
      <w:szCs w:val="24"/>
    </w:rPr>
  </w:style>
  <w:style w:type="character" w:styleId="Strong">
    <w:name w:val="Strong"/>
    <w:basedOn w:val="DefaultParagraphFont"/>
    <w:uiPriority w:val="22"/>
    <w:qFormat/>
    <w:locked/>
    <w:rsid w:val="00F02C2A"/>
    <w:rPr>
      <w:b/>
      <w:bCs/>
    </w:rPr>
  </w:style>
  <w:style w:type="paragraph" w:styleId="ListParagraph">
    <w:name w:val="List Paragraph"/>
    <w:basedOn w:val="Normal"/>
    <w:uiPriority w:val="34"/>
    <w:qFormat/>
    <w:locked/>
    <w:rsid w:val="00FF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596">
      <w:bodyDiv w:val="1"/>
      <w:marLeft w:val="0"/>
      <w:marRight w:val="0"/>
      <w:marTop w:val="0"/>
      <w:marBottom w:val="0"/>
      <w:divBdr>
        <w:top w:val="none" w:sz="0" w:space="0" w:color="auto"/>
        <w:left w:val="none" w:sz="0" w:space="0" w:color="auto"/>
        <w:bottom w:val="none" w:sz="0" w:space="0" w:color="auto"/>
        <w:right w:val="none" w:sz="0" w:space="0" w:color="auto"/>
      </w:divBdr>
      <w:divsChild>
        <w:div w:id="752119332">
          <w:marLeft w:val="0"/>
          <w:marRight w:val="0"/>
          <w:marTop w:val="0"/>
          <w:marBottom w:val="0"/>
          <w:divBdr>
            <w:top w:val="none" w:sz="0" w:space="0" w:color="auto"/>
            <w:left w:val="none" w:sz="0" w:space="0" w:color="auto"/>
            <w:bottom w:val="none" w:sz="0" w:space="0" w:color="auto"/>
            <w:right w:val="none" w:sz="0" w:space="0" w:color="auto"/>
          </w:divBdr>
          <w:divsChild>
            <w:div w:id="13024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6542">
      <w:bodyDiv w:val="1"/>
      <w:marLeft w:val="0"/>
      <w:marRight w:val="0"/>
      <w:marTop w:val="0"/>
      <w:marBottom w:val="0"/>
      <w:divBdr>
        <w:top w:val="none" w:sz="0" w:space="0" w:color="auto"/>
        <w:left w:val="none" w:sz="0" w:space="0" w:color="auto"/>
        <w:bottom w:val="none" w:sz="0" w:space="0" w:color="auto"/>
        <w:right w:val="none" w:sz="0" w:space="0" w:color="auto"/>
      </w:divBdr>
      <w:divsChild>
        <w:div w:id="1907185273">
          <w:marLeft w:val="0"/>
          <w:marRight w:val="0"/>
          <w:marTop w:val="0"/>
          <w:marBottom w:val="0"/>
          <w:divBdr>
            <w:top w:val="none" w:sz="0" w:space="0" w:color="auto"/>
            <w:left w:val="none" w:sz="0" w:space="0" w:color="auto"/>
            <w:bottom w:val="none" w:sz="0" w:space="0" w:color="auto"/>
            <w:right w:val="none" w:sz="0" w:space="0" w:color="auto"/>
          </w:divBdr>
          <w:divsChild>
            <w:div w:id="13170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044">
      <w:bodyDiv w:val="1"/>
      <w:marLeft w:val="0"/>
      <w:marRight w:val="0"/>
      <w:marTop w:val="0"/>
      <w:marBottom w:val="0"/>
      <w:divBdr>
        <w:top w:val="none" w:sz="0" w:space="0" w:color="auto"/>
        <w:left w:val="none" w:sz="0" w:space="0" w:color="auto"/>
        <w:bottom w:val="none" w:sz="0" w:space="0" w:color="auto"/>
        <w:right w:val="none" w:sz="0" w:space="0" w:color="auto"/>
      </w:divBdr>
      <w:divsChild>
        <w:div w:id="1289311275">
          <w:marLeft w:val="0"/>
          <w:marRight w:val="0"/>
          <w:marTop w:val="0"/>
          <w:marBottom w:val="0"/>
          <w:divBdr>
            <w:top w:val="none" w:sz="0" w:space="0" w:color="auto"/>
            <w:left w:val="none" w:sz="0" w:space="0" w:color="auto"/>
            <w:bottom w:val="none" w:sz="0" w:space="0" w:color="auto"/>
            <w:right w:val="none" w:sz="0" w:space="0" w:color="auto"/>
          </w:divBdr>
          <w:divsChild>
            <w:div w:id="2863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5550">
      <w:bodyDiv w:val="1"/>
      <w:marLeft w:val="0"/>
      <w:marRight w:val="0"/>
      <w:marTop w:val="0"/>
      <w:marBottom w:val="0"/>
      <w:divBdr>
        <w:top w:val="none" w:sz="0" w:space="0" w:color="auto"/>
        <w:left w:val="none" w:sz="0" w:space="0" w:color="auto"/>
        <w:bottom w:val="none" w:sz="0" w:space="0" w:color="auto"/>
        <w:right w:val="none" w:sz="0" w:space="0" w:color="auto"/>
      </w:divBdr>
      <w:divsChild>
        <w:div w:id="677659637">
          <w:marLeft w:val="0"/>
          <w:marRight w:val="0"/>
          <w:marTop w:val="0"/>
          <w:marBottom w:val="0"/>
          <w:divBdr>
            <w:top w:val="none" w:sz="0" w:space="0" w:color="auto"/>
            <w:left w:val="none" w:sz="0" w:space="0" w:color="auto"/>
            <w:bottom w:val="none" w:sz="0" w:space="0" w:color="auto"/>
            <w:right w:val="none" w:sz="0" w:space="0" w:color="auto"/>
          </w:divBdr>
          <w:divsChild>
            <w:div w:id="9010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801653944">
      <w:bodyDiv w:val="1"/>
      <w:marLeft w:val="0"/>
      <w:marRight w:val="0"/>
      <w:marTop w:val="0"/>
      <w:marBottom w:val="0"/>
      <w:divBdr>
        <w:top w:val="none" w:sz="0" w:space="0" w:color="auto"/>
        <w:left w:val="none" w:sz="0" w:space="0" w:color="auto"/>
        <w:bottom w:val="none" w:sz="0" w:space="0" w:color="auto"/>
        <w:right w:val="none" w:sz="0" w:space="0" w:color="auto"/>
      </w:divBdr>
      <w:divsChild>
        <w:div w:id="592397371">
          <w:marLeft w:val="0"/>
          <w:marRight w:val="0"/>
          <w:marTop w:val="0"/>
          <w:marBottom w:val="0"/>
          <w:divBdr>
            <w:top w:val="none" w:sz="0" w:space="0" w:color="auto"/>
            <w:left w:val="none" w:sz="0" w:space="0" w:color="auto"/>
            <w:bottom w:val="none" w:sz="0" w:space="0" w:color="auto"/>
            <w:right w:val="none" w:sz="0" w:space="0" w:color="auto"/>
          </w:divBdr>
          <w:divsChild>
            <w:div w:id="2839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182">
      <w:bodyDiv w:val="1"/>
      <w:marLeft w:val="0"/>
      <w:marRight w:val="0"/>
      <w:marTop w:val="0"/>
      <w:marBottom w:val="0"/>
      <w:divBdr>
        <w:top w:val="none" w:sz="0" w:space="0" w:color="auto"/>
        <w:left w:val="none" w:sz="0" w:space="0" w:color="auto"/>
        <w:bottom w:val="none" w:sz="0" w:space="0" w:color="auto"/>
        <w:right w:val="none" w:sz="0" w:space="0" w:color="auto"/>
      </w:divBdr>
      <w:divsChild>
        <w:div w:id="569652649">
          <w:marLeft w:val="0"/>
          <w:marRight w:val="0"/>
          <w:marTop w:val="0"/>
          <w:marBottom w:val="0"/>
          <w:divBdr>
            <w:top w:val="none" w:sz="0" w:space="0" w:color="auto"/>
            <w:left w:val="none" w:sz="0" w:space="0" w:color="auto"/>
            <w:bottom w:val="none" w:sz="0" w:space="0" w:color="auto"/>
            <w:right w:val="none" w:sz="0" w:space="0" w:color="auto"/>
          </w:divBdr>
          <w:divsChild>
            <w:div w:id="17320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10555">
      <w:bodyDiv w:val="1"/>
      <w:marLeft w:val="0"/>
      <w:marRight w:val="0"/>
      <w:marTop w:val="0"/>
      <w:marBottom w:val="0"/>
      <w:divBdr>
        <w:top w:val="none" w:sz="0" w:space="0" w:color="auto"/>
        <w:left w:val="none" w:sz="0" w:space="0" w:color="auto"/>
        <w:bottom w:val="none" w:sz="0" w:space="0" w:color="auto"/>
        <w:right w:val="none" w:sz="0" w:space="0" w:color="auto"/>
      </w:divBdr>
      <w:divsChild>
        <w:div w:id="586308215">
          <w:marLeft w:val="0"/>
          <w:marRight w:val="0"/>
          <w:marTop w:val="0"/>
          <w:marBottom w:val="0"/>
          <w:divBdr>
            <w:top w:val="none" w:sz="0" w:space="0" w:color="auto"/>
            <w:left w:val="none" w:sz="0" w:space="0" w:color="auto"/>
            <w:bottom w:val="none" w:sz="0" w:space="0" w:color="auto"/>
            <w:right w:val="none" w:sz="0" w:space="0" w:color="auto"/>
          </w:divBdr>
          <w:divsChild>
            <w:div w:id="837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9016">
      <w:bodyDiv w:val="1"/>
      <w:marLeft w:val="0"/>
      <w:marRight w:val="0"/>
      <w:marTop w:val="0"/>
      <w:marBottom w:val="0"/>
      <w:divBdr>
        <w:top w:val="none" w:sz="0" w:space="0" w:color="auto"/>
        <w:left w:val="none" w:sz="0" w:space="0" w:color="auto"/>
        <w:bottom w:val="none" w:sz="0" w:space="0" w:color="auto"/>
        <w:right w:val="none" w:sz="0" w:space="0" w:color="auto"/>
      </w:divBdr>
      <w:divsChild>
        <w:div w:id="1400401560">
          <w:marLeft w:val="0"/>
          <w:marRight w:val="0"/>
          <w:marTop w:val="0"/>
          <w:marBottom w:val="0"/>
          <w:divBdr>
            <w:top w:val="none" w:sz="0" w:space="0" w:color="auto"/>
            <w:left w:val="none" w:sz="0" w:space="0" w:color="auto"/>
            <w:bottom w:val="none" w:sz="0" w:space="0" w:color="auto"/>
            <w:right w:val="none" w:sz="0" w:space="0" w:color="auto"/>
          </w:divBdr>
          <w:divsChild>
            <w:div w:id="8826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8994">
      <w:bodyDiv w:val="1"/>
      <w:marLeft w:val="0"/>
      <w:marRight w:val="0"/>
      <w:marTop w:val="0"/>
      <w:marBottom w:val="0"/>
      <w:divBdr>
        <w:top w:val="none" w:sz="0" w:space="0" w:color="auto"/>
        <w:left w:val="none" w:sz="0" w:space="0" w:color="auto"/>
        <w:bottom w:val="none" w:sz="0" w:space="0" w:color="auto"/>
        <w:right w:val="none" w:sz="0" w:space="0" w:color="auto"/>
      </w:divBdr>
      <w:divsChild>
        <w:div w:id="771363934">
          <w:marLeft w:val="0"/>
          <w:marRight w:val="0"/>
          <w:marTop w:val="0"/>
          <w:marBottom w:val="0"/>
          <w:divBdr>
            <w:top w:val="none" w:sz="0" w:space="0" w:color="auto"/>
            <w:left w:val="none" w:sz="0" w:space="0" w:color="auto"/>
            <w:bottom w:val="none" w:sz="0" w:space="0" w:color="auto"/>
            <w:right w:val="none" w:sz="0" w:space="0" w:color="auto"/>
          </w:divBdr>
          <w:divsChild>
            <w:div w:id="4911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860">
      <w:bodyDiv w:val="1"/>
      <w:marLeft w:val="0"/>
      <w:marRight w:val="0"/>
      <w:marTop w:val="0"/>
      <w:marBottom w:val="0"/>
      <w:divBdr>
        <w:top w:val="none" w:sz="0" w:space="0" w:color="auto"/>
        <w:left w:val="none" w:sz="0" w:space="0" w:color="auto"/>
        <w:bottom w:val="none" w:sz="0" w:space="0" w:color="auto"/>
        <w:right w:val="none" w:sz="0" w:space="0" w:color="auto"/>
      </w:divBdr>
      <w:divsChild>
        <w:div w:id="1021973915">
          <w:marLeft w:val="0"/>
          <w:marRight w:val="0"/>
          <w:marTop w:val="0"/>
          <w:marBottom w:val="0"/>
          <w:divBdr>
            <w:top w:val="none" w:sz="0" w:space="0" w:color="auto"/>
            <w:left w:val="none" w:sz="0" w:space="0" w:color="auto"/>
            <w:bottom w:val="none" w:sz="0" w:space="0" w:color="auto"/>
            <w:right w:val="none" w:sz="0" w:space="0" w:color="auto"/>
          </w:divBdr>
          <w:divsChild>
            <w:div w:id="1130056711">
              <w:marLeft w:val="0"/>
              <w:marRight w:val="0"/>
              <w:marTop w:val="0"/>
              <w:marBottom w:val="0"/>
              <w:divBdr>
                <w:top w:val="none" w:sz="0" w:space="0" w:color="auto"/>
                <w:left w:val="none" w:sz="0" w:space="0" w:color="auto"/>
                <w:bottom w:val="none" w:sz="0" w:space="0" w:color="auto"/>
                <w:right w:val="none" w:sz="0" w:space="0" w:color="auto"/>
              </w:divBdr>
              <w:divsChild>
                <w:div w:id="797919520">
                  <w:marLeft w:val="0"/>
                  <w:marRight w:val="0"/>
                  <w:marTop w:val="0"/>
                  <w:marBottom w:val="0"/>
                  <w:divBdr>
                    <w:top w:val="none" w:sz="0" w:space="0" w:color="auto"/>
                    <w:left w:val="none" w:sz="0" w:space="0" w:color="auto"/>
                    <w:bottom w:val="none" w:sz="0" w:space="0" w:color="auto"/>
                    <w:right w:val="none" w:sz="0" w:space="0" w:color="auto"/>
                  </w:divBdr>
                </w:div>
                <w:div w:id="18345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0169">
      <w:bodyDiv w:val="1"/>
      <w:marLeft w:val="0"/>
      <w:marRight w:val="0"/>
      <w:marTop w:val="0"/>
      <w:marBottom w:val="0"/>
      <w:divBdr>
        <w:top w:val="none" w:sz="0" w:space="0" w:color="auto"/>
        <w:left w:val="none" w:sz="0" w:space="0" w:color="auto"/>
        <w:bottom w:val="none" w:sz="0" w:space="0" w:color="auto"/>
        <w:right w:val="none" w:sz="0" w:space="0" w:color="auto"/>
      </w:divBdr>
      <w:divsChild>
        <w:div w:id="206572144">
          <w:marLeft w:val="0"/>
          <w:marRight w:val="0"/>
          <w:marTop w:val="0"/>
          <w:marBottom w:val="0"/>
          <w:divBdr>
            <w:top w:val="none" w:sz="0" w:space="0" w:color="auto"/>
            <w:left w:val="none" w:sz="0" w:space="0" w:color="auto"/>
            <w:bottom w:val="none" w:sz="0" w:space="0" w:color="auto"/>
            <w:right w:val="none" w:sz="0" w:space="0" w:color="auto"/>
          </w:divBdr>
          <w:divsChild>
            <w:div w:id="1600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0031">
      <w:bodyDiv w:val="1"/>
      <w:marLeft w:val="0"/>
      <w:marRight w:val="0"/>
      <w:marTop w:val="0"/>
      <w:marBottom w:val="0"/>
      <w:divBdr>
        <w:top w:val="none" w:sz="0" w:space="0" w:color="auto"/>
        <w:left w:val="none" w:sz="0" w:space="0" w:color="auto"/>
        <w:bottom w:val="none" w:sz="0" w:space="0" w:color="auto"/>
        <w:right w:val="none" w:sz="0" w:space="0" w:color="auto"/>
      </w:divBdr>
      <w:divsChild>
        <w:div w:id="503789348">
          <w:marLeft w:val="0"/>
          <w:marRight w:val="0"/>
          <w:marTop w:val="0"/>
          <w:marBottom w:val="0"/>
          <w:divBdr>
            <w:top w:val="none" w:sz="0" w:space="0" w:color="auto"/>
            <w:left w:val="none" w:sz="0" w:space="0" w:color="auto"/>
            <w:bottom w:val="none" w:sz="0" w:space="0" w:color="auto"/>
            <w:right w:val="none" w:sz="0" w:space="0" w:color="auto"/>
          </w:divBdr>
          <w:divsChild>
            <w:div w:id="4361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59">
      <w:bodyDiv w:val="1"/>
      <w:marLeft w:val="0"/>
      <w:marRight w:val="0"/>
      <w:marTop w:val="0"/>
      <w:marBottom w:val="0"/>
      <w:divBdr>
        <w:top w:val="none" w:sz="0" w:space="0" w:color="auto"/>
        <w:left w:val="none" w:sz="0" w:space="0" w:color="auto"/>
        <w:bottom w:val="none" w:sz="0" w:space="0" w:color="auto"/>
        <w:right w:val="none" w:sz="0" w:space="0" w:color="auto"/>
      </w:divBdr>
      <w:divsChild>
        <w:div w:id="398556312">
          <w:marLeft w:val="0"/>
          <w:marRight w:val="0"/>
          <w:marTop w:val="0"/>
          <w:marBottom w:val="0"/>
          <w:divBdr>
            <w:top w:val="none" w:sz="0" w:space="0" w:color="auto"/>
            <w:left w:val="none" w:sz="0" w:space="0" w:color="auto"/>
            <w:bottom w:val="none" w:sz="0" w:space="0" w:color="auto"/>
            <w:right w:val="none" w:sz="0" w:space="0" w:color="auto"/>
          </w:divBdr>
          <w:divsChild>
            <w:div w:id="9203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tas-solutions.com/webcenter/content/conn/UCM_Repository/uuid/dDocName:00081465" TargetMode="External"/><Relationship Id="rId13" Type="http://schemas.openxmlformats.org/officeDocument/2006/relationships/hyperlink" Target="https://tools.usps.com/go/ZipLookupAction!input.a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ddocname:000045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ddocname:00004536" TargetMode="External"/><Relationship Id="rId5" Type="http://schemas.openxmlformats.org/officeDocument/2006/relationships/styles" Target="styles.xml"/><Relationship Id="rId15" Type="http://schemas.openxmlformats.org/officeDocument/2006/relationships/hyperlink" Target="ddocname:00004555" TargetMode="External"/><Relationship Id="rId10" Type="http://schemas.openxmlformats.org/officeDocument/2006/relationships/hyperlink" Target="ddocname:00197705" TargetMode="External"/><Relationship Id="rId4" Type="http://schemas.openxmlformats.org/officeDocument/2006/relationships/numbering" Target="numbering.xml"/><Relationship Id="rId9" Type="http://schemas.openxmlformats.org/officeDocument/2006/relationships/hyperlink" Target="dDocName:00004779" TargetMode="External"/><Relationship Id="rId14" Type="http://schemas.openxmlformats.org/officeDocument/2006/relationships/hyperlink" Target="dDocName:000082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8331A-81EF-4565-B3C7-D782C33A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9AE985-D7D9-42CE-82EB-723A0BF243D0}">
  <ds:schemaRefs>
    <ds:schemaRef ds:uri="http://schemas.microsoft.com/sharepoint/v3/contenttype/forms"/>
  </ds:schemaRefs>
</ds:datastoreItem>
</file>

<file path=customXml/itemProps3.xml><?xml version="1.0" encoding="utf-8"?>
<ds:datastoreItem xmlns:ds="http://schemas.openxmlformats.org/officeDocument/2006/customXml" ds:itemID="{0074AA96-4A4B-4443-8053-5EEE46330A3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WebDocument.dotx</Template>
  <TotalTime>3</TotalTime>
  <Pages>4</Pages>
  <Words>1391</Words>
  <Characters>7206</Characters>
  <Application>Microsoft Office Word</Application>
  <DocSecurity>0</DocSecurity>
  <Lines>327</Lines>
  <Paragraphs>191</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dc:creator>
  <cp:lastModifiedBy>Keefer, Felecia</cp:lastModifiedBy>
  <cp:revision>2</cp:revision>
  <cp:lastPrinted>2013-08-22T18:47:00Z</cp:lastPrinted>
  <dcterms:created xsi:type="dcterms:W3CDTF">2025-01-29T10:30:00Z</dcterms:created>
  <dcterms:modified xsi:type="dcterms:W3CDTF">2025-01-29T10:30:00Z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