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EEE2" w14:textId="77777777" w:rsidR="00110361" w:rsidRPr="00F3549A" w:rsidRDefault="00110361" w:rsidP="00F3549A">
      <w:pPr>
        <w:pStyle w:val="webheader"/>
      </w:pPr>
      <w:bookmarkStart w:id="0" w:name="mainContent"/>
      <w:r w:rsidRPr="00F3549A">
        <w:t>Medical Review</w:t>
      </w:r>
      <w:bookmarkEnd w:id="0"/>
      <w:r w:rsidRPr="00F3549A">
        <w:t xml:space="preserve"> </w:t>
      </w:r>
    </w:p>
    <w:p w14:paraId="1D0EEEE3" w14:textId="77777777" w:rsidR="00110361" w:rsidRPr="00110361" w:rsidRDefault="00110361" w:rsidP="00F3549A">
      <w:pPr>
        <w:pStyle w:val="webheader3"/>
      </w:pPr>
      <w:bookmarkStart w:id="1" w:name="1"/>
      <w:r w:rsidRPr="00110361">
        <w:t>Overview</w:t>
      </w:r>
      <w:bookmarkEnd w:id="1"/>
    </w:p>
    <w:p w14:paraId="1D0EEEE4" w14:textId="77777777" w:rsidR="00FC4B87" w:rsidRPr="00FC4B87" w:rsidRDefault="00FC4B87" w:rsidP="00FC4B87">
      <w:pPr>
        <w:pStyle w:val="webnormal"/>
      </w:pPr>
      <w:bookmarkStart w:id="2" w:name="2"/>
      <w:r w:rsidRPr="00FC4B87">
        <w:t>A primary goal of the Medicare Integrity Program is to pay claims correctly and reduce the claims payment error rate as defined under the GPRA (Government Performance and Results Act). In order to meet that goal, contractors like Novitas Solutions must ensure that they pay the right amount for covered, medically necessary, and correctly coded services rendered to eligible beneficiaries by legitimate providers. In 2003, CMS (Centers for Medicare and Medicaid Service) launched an expanded effort, reviewing a significant volume of Medicare claims, to learn more precisely where errors are being made. These reviews are conducted under the umbrella of the CERT (Comprehensive Error Rate Testing) Program.</w:t>
      </w:r>
    </w:p>
    <w:p w14:paraId="1D0EEEE5" w14:textId="77777777" w:rsidR="00FC4B87" w:rsidRPr="00FC4B87" w:rsidRDefault="00FC4B87" w:rsidP="00FC4B87">
      <w:pPr>
        <w:pStyle w:val="webnormal"/>
      </w:pPr>
      <w:r w:rsidRPr="00FC4B87">
        <w:t xml:space="preserve">CMS and Novitas Solutions use the CERT data that measures improper payments in the Medicare Fee-for-Service (FFS) program to determine underlying reasons for claim errors and develop appropriate action plans to improve compliance in payment, claims processing, and provider billing practices. For more information on the CERT Program, please visit the CERT </w:t>
      </w:r>
      <w:r>
        <w:t xml:space="preserve">Center </w:t>
      </w:r>
      <w:r w:rsidRPr="00FC4B87">
        <w:t>o</w:t>
      </w:r>
      <w:r>
        <w:t>n</w:t>
      </w:r>
      <w:r w:rsidRPr="00FC4B87">
        <w:t xml:space="preserve"> our website.</w:t>
      </w:r>
    </w:p>
    <w:p w14:paraId="1D0EEEE6" w14:textId="77777777" w:rsidR="00110361" w:rsidRPr="00110361" w:rsidRDefault="00110361" w:rsidP="00F3549A">
      <w:pPr>
        <w:pStyle w:val="webheader3"/>
      </w:pPr>
      <w:r w:rsidRPr="00110361">
        <w:t>Data Analysis</w:t>
      </w:r>
      <w:bookmarkEnd w:id="2"/>
    </w:p>
    <w:p w14:paraId="1D0EEEE7" w14:textId="77777777" w:rsidR="00110361" w:rsidRPr="00110361" w:rsidRDefault="00110361" w:rsidP="00110361">
      <w:pPr>
        <w:pStyle w:val="webnormal"/>
      </w:pPr>
      <w:r w:rsidRPr="00110361">
        <w:t>Data analysis is the comparison of claim information and other related data to identify potential errors and/or potential fraud. Data analysis is an integrated, on-going component of Medical Review and Provider Education activities. An analysis of data is used to:</w:t>
      </w:r>
    </w:p>
    <w:p w14:paraId="1D0EEEE8" w14:textId="77777777" w:rsidR="00110361" w:rsidRPr="00FC4B87" w:rsidRDefault="00110361" w:rsidP="00FC4B87">
      <w:pPr>
        <w:pStyle w:val="webbullet1"/>
      </w:pPr>
      <w:r w:rsidRPr="00FC4B87">
        <w:t>Identify those areas of potential errors (e.g., services which may be non-covered or not correctly coded) that pose the greatest risk;</w:t>
      </w:r>
    </w:p>
    <w:p w14:paraId="1D0EEEE9" w14:textId="77777777" w:rsidR="00110361" w:rsidRPr="00FC4B87" w:rsidRDefault="00110361" w:rsidP="00FC4B87">
      <w:pPr>
        <w:pStyle w:val="webbullet1"/>
      </w:pPr>
      <w:r w:rsidRPr="00FC4B87">
        <w:t>Establish baseline data to enable the contractor to recognize unusual trends, changes in utilization over time, or schemes to inappropriately maximize reimbursement;</w:t>
      </w:r>
    </w:p>
    <w:p w14:paraId="1D0EEEEA" w14:textId="77777777" w:rsidR="00110361" w:rsidRPr="00FC4B87" w:rsidRDefault="00110361" w:rsidP="00FC4B87">
      <w:pPr>
        <w:pStyle w:val="webbullet1"/>
      </w:pPr>
      <w:r w:rsidRPr="00FC4B87">
        <w:t xml:space="preserve">Identify where there is a need for </w:t>
      </w:r>
      <w:r w:rsidR="007648EF" w:rsidRPr="00FC4B87">
        <w:t>LCD (</w:t>
      </w:r>
      <w:r w:rsidRPr="00FC4B87">
        <w:t>Local Coverage Determination);</w:t>
      </w:r>
    </w:p>
    <w:p w14:paraId="1D0EEEEB" w14:textId="77777777" w:rsidR="00110361" w:rsidRPr="00FC4B87" w:rsidRDefault="00110361" w:rsidP="00FC4B87">
      <w:pPr>
        <w:pStyle w:val="webbullet1"/>
      </w:pPr>
      <w:r w:rsidRPr="00FC4B87">
        <w:t>Recommend claims review strategies to most efficiently prevent or address potential errors (e.g., prepayment edit specifications or parameters);</w:t>
      </w:r>
    </w:p>
    <w:p w14:paraId="1D0EEEEC" w14:textId="77777777" w:rsidR="00110361" w:rsidRPr="00FC4B87" w:rsidRDefault="00110361" w:rsidP="00FC4B87">
      <w:pPr>
        <w:pStyle w:val="webbullet1"/>
      </w:pPr>
      <w:r w:rsidRPr="00FC4B87">
        <w:t>Produce innovative views of utilization or billing patterns that illuminate potential errors;</w:t>
      </w:r>
    </w:p>
    <w:p w14:paraId="1D0EEEED" w14:textId="77777777" w:rsidR="00110361" w:rsidRPr="00FC4B87" w:rsidRDefault="00110361" w:rsidP="00FC4B87">
      <w:pPr>
        <w:pStyle w:val="webbullet1"/>
      </w:pPr>
      <w:r w:rsidRPr="00FC4B87">
        <w:t>Recommend where there is a need to target high volume or high cost services that are being widely over utilized because these services will not appear as an outlier, and may be overlooked when in fact, they pose the greatest financial risk; and</w:t>
      </w:r>
    </w:p>
    <w:p w14:paraId="1D0EEEEE" w14:textId="77777777" w:rsidR="00110361" w:rsidRPr="00FC4B87" w:rsidRDefault="00110361" w:rsidP="00FC4B87">
      <w:pPr>
        <w:pStyle w:val="webbullet1"/>
      </w:pPr>
      <w:r w:rsidRPr="00FC4B87">
        <w:t>Recommend strategies for review of claims that add an element of unpredictability in terms of what providers or services will be targeted.</w:t>
      </w:r>
    </w:p>
    <w:p w14:paraId="1D0EEEEF" w14:textId="77777777" w:rsidR="00110361" w:rsidRPr="00110361" w:rsidRDefault="00110361" w:rsidP="00110361">
      <w:pPr>
        <w:pStyle w:val="webnormal"/>
      </w:pPr>
      <w:r w:rsidRPr="00110361">
        <w:t>This data analysis program includes an analysis of national data furnished by the CMS, internal billing utilization and payment data as well as the review of CERT data analysis to identify potential errors. The goal of the data analysis program is to identify errors that pose the greatest financial risk to the Medicare program.</w:t>
      </w:r>
    </w:p>
    <w:p w14:paraId="1D0EEEF0" w14:textId="77777777" w:rsidR="00110361" w:rsidRPr="00110361" w:rsidRDefault="00110361" w:rsidP="00F3549A">
      <w:pPr>
        <w:pStyle w:val="webheader3"/>
      </w:pPr>
      <w:bookmarkStart w:id="3" w:name="3"/>
      <w:r w:rsidRPr="00110361">
        <w:t>Medical Review</w:t>
      </w:r>
      <w:bookmarkEnd w:id="3"/>
    </w:p>
    <w:p w14:paraId="1D0EEEF1" w14:textId="77777777" w:rsidR="00110361" w:rsidRPr="00633C4D" w:rsidRDefault="00110361" w:rsidP="00110361">
      <w:pPr>
        <w:pStyle w:val="webnormal"/>
        <w:rPr>
          <w:rStyle w:val="webbold"/>
        </w:rPr>
      </w:pPr>
      <w:r w:rsidRPr="00633C4D">
        <w:rPr>
          <w:rStyle w:val="webbold"/>
        </w:rPr>
        <w:t>Purpose</w:t>
      </w:r>
    </w:p>
    <w:p w14:paraId="1D0EEEF2" w14:textId="77777777" w:rsidR="00110361" w:rsidRPr="00110361" w:rsidRDefault="00110361" w:rsidP="00110361">
      <w:pPr>
        <w:pStyle w:val="webnormal"/>
      </w:pPr>
      <w:r w:rsidRPr="00110361">
        <w:t>CMS instructs contractors to use four parallel strategies to assist in meeting this goal:</w:t>
      </w:r>
    </w:p>
    <w:p w14:paraId="1D0EEEF3" w14:textId="77777777" w:rsidR="00110361" w:rsidRPr="00110361" w:rsidRDefault="00110361" w:rsidP="00633C4D">
      <w:pPr>
        <w:pStyle w:val="webbullet1"/>
      </w:pPr>
      <w:r w:rsidRPr="00110361">
        <w:t>Preventing inappropriate payments through accurate and effective enrollment of providers and beneficiaries;</w:t>
      </w:r>
    </w:p>
    <w:p w14:paraId="1D0EEEF4" w14:textId="77777777" w:rsidR="00110361" w:rsidRPr="00110361" w:rsidRDefault="00110361" w:rsidP="00633C4D">
      <w:pPr>
        <w:pStyle w:val="webbullet1"/>
      </w:pPr>
      <w:r w:rsidRPr="00110361">
        <w:t>Detecting program aberrancies through data analysis and on-going medical review;</w:t>
      </w:r>
    </w:p>
    <w:p w14:paraId="1D0EEEF5" w14:textId="77777777" w:rsidR="00110361" w:rsidRPr="00110361" w:rsidRDefault="00110361" w:rsidP="00633C4D">
      <w:pPr>
        <w:pStyle w:val="webbullet1"/>
      </w:pPr>
      <w:r w:rsidRPr="00110361">
        <w:lastRenderedPageBreak/>
        <w:t xml:space="preserve">Making fair and firm medical review decisions enforcing local and national policies in accordance with </w:t>
      </w:r>
      <w:r w:rsidR="007648EF" w:rsidRPr="00110361">
        <w:t xml:space="preserve">PCA </w:t>
      </w:r>
      <w:r w:rsidR="007648EF" w:rsidRPr="007648EF">
        <w:rPr>
          <w:rStyle w:val="webitalics"/>
        </w:rPr>
        <w:t>(Progressive Corrective Action</w:t>
      </w:r>
      <w:r w:rsidRPr="007648EF">
        <w:rPr>
          <w:rStyle w:val="webitalics"/>
        </w:rPr>
        <w:t>)</w:t>
      </w:r>
      <w:r w:rsidRPr="00110361">
        <w:t>; and</w:t>
      </w:r>
    </w:p>
    <w:p w14:paraId="1D0EEEF6" w14:textId="77777777" w:rsidR="00110361" w:rsidRPr="00110361" w:rsidRDefault="00110361" w:rsidP="00633C4D">
      <w:pPr>
        <w:pStyle w:val="webbullet1"/>
      </w:pPr>
      <w:r w:rsidRPr="00110361">
        <w:t>Coordinating activities and communicating information with internal and external partners, including other contractors, law enforcement agencies, and others.</w:t>
      </w:r>
    </w:p>
    <w:p w14:paraId="1D0EEEF7" w14:textId="77777777" w:rsidR="00110361" w:rsidRPr="00110361" w:rsidRDefault="00110361" w:rsidP="00110361">
      <w:pPr>
        <w:pStyle w:val="webnormal"/>
      </w:pPr>
      <w:r w:rsidRPr="00110361">
        <w:t>Medical Review is an essential part of the Medicare Integrity Program. Primarily, Medical Review processes focus on identification of aberrancies or patterns of inappropriate billing, educating providers on Medicare coverage and coding requirements, and performing medical review of claims and the supporting documentation.</w:t>
      </w:r>
    </w:p>
    <w:p w14:paraId="1D0EEEF8" w14:textId="77777777" w:rsidR="00110361" w:rsidRPr="00633C4D" w:rsidRDefault="00110361" w:rsidP="00110361">
      <w:pPr>
        <w:pStyle w:val="webnormal"/>
        <w:rPr>
          <w:rStyle w:val="webbold"/>
        </w:rPr>
      </w:pPr>
      <w:bookmarkStart w:id="4" w:name="19.3b"/>
      <w:bookmarkEnd w:id="4"/>
      <w:r w:rsidRPr="00633C4D">
        <w:rPr>
          <w:rStyle w:val="webbold"/>
        </w:rPr>
        <w:t>Process Summary</w:t>
      </w:r>
    </w:p>
    <w:p w14:paraId="1D0EEEF9" w14:textId="77777777" w:rsidR="00110361" w:rsidRPr="0069304F" w:rsidRDefault="00110361" w:rsidP="00110361">
      <w:pPr>
        <w:pStyle w:val="webnormal"/>
        <w:rPr>
          <w:rStyle w:val="webbold"/>
        </w:rPr>
      </w:pPr>
      <w:r w:rsidRPr="0069304F">
        <w:rPr>
          <w:rStyle w:val="webbold"/>
        </w:rPr>
        <w:t xml:space="preserve">How Reviews are </w:t>
      </w:r>
      <w:r w:rsidR="00633C4D" w:rsidRPr="0069304F">
        <w:rPr>
          <w:rStyle w:val="webbold"/>
        </w:rPr>
        <w:t>identified</w:t>
      </w:r>
    </w:p>
    <w:p w14:paraId="1D0EEEFA" w14:textId="77777777" w:rsidR="00110361" w:rsidRPr="00110361" w:rsidRDefault="00110361" w:rsidP="00110361">
      <w:pPr>
        <w:pStyle w:val="webnormal"/>
      </w:pPr>
      <w:r w:rsidRPr="00110361">
        <w:t>Under Section 1842</w:t>
      </w:r>
      <w:r w:rsidRPr="007648EF">
        <w:rPr>
          <w:rStyle w:val="webitalics"/>
        </w:rPr>
        <w:t>(a)(1)(C)</w:t>
      </w:r>
      <w:r w:rsidRPr="00110361">
        <w:t xml:space="preserve"> of the Social Security Act, Medicare contractors are authorized to conduct “audits of the records of providers of services as may be necessary to assure that proper payments are made under this part.” Novitas Solutions is responsible for conducting audits of providers to ensure that Medicare Part A/B claims have been billed and paid appropriately. We may review all claims submitted to Novitas Solutions.</w:t>
      </w:r>
    </w:p>
    <w:p w14:paraId="1D0EEEFB" w14:textId="77777777" w:rsidR="00110361" w:rsidRPr="00110361" w:rsidRDefault="00110361" w:rsidP="00110361">
      <w:pPr>
        <w:pStyle w:val="webnormal"/>
      </w:pPr>
      <w:r w:rsidRPr="00110361">
        <w:t>Contractors use data analysis as the foundation for detection of aberrancies or patterns of apparent inappropriate billing, which may be potential claim payment errors. Data analysis is the comparison of claim information and other related data to identify potential errors. Various sources of information and techniques are used to identify potential errors that pose the greatest financial risk to the Medicare Program. When such aberrancies or inappropriate billings are identified, additional measures are taken to verify and add context to the data. The results of that additional analysis determine the type and level of corrective action that will be taken by Novitas Solutions’ Medical Review Department.</w:t>
      </w:r>
    </w:p>
    <w:p w14:paraId="1D0EEEFC" w14:textId="77777777" w:rsidR="00110361" w:rsidRPr="0069304F" w:rsidRDefault="00110361" w:rsidP="0069304F">
      <w:pPr>
        <w:pStyle w:val="webheader3"/>
      </w:pPr>
      <w:bookmarkStart w:id="5" w:name="19.3c"/>
      <w:bookmarkEnd w:id="5"/>
      <w:r w:rsidRPr="0069304F">
        <w:t>Progressive Corrective Action</w:t>
      </w:r>
      <w:r w:rsidR="0035093A" w:rsidRPr="0069304F">
        <w:t xml:space="preserve"> (PCA)</w:t>
      </w:r>
    </w:p>
    <w:p w14:paraId="1D0EEEFD" w14:textId="77777777" w:rsidR="00110361" w:rsidRPr="0069304F" w:rsidRDefault="00110361" w:rsidP="00110361">
      <w:pPr>
        <w:pStyle w:val="webnormal"/>
        <w:rPr>
          <w:rStyle w:val="webbold"/>
        </w:rPr>
      </w:pPr>
      <w:r w:rsidRPr="0069304F">
        <w:rPr>
          <w:rStyle w:val="webbold"/>
        </w:rPr>
        <w:t>Need for Corrective Action</w:t>
      </w:r>
    </w:p>
    <w:p w14:paraId="1D0EEEFE" w14:textId="3EFC8D37" w:rsidR="00110361" w:rsidRPr="00110361" w:rsidRDefault="00110361" w:rsidP="00110361">
      <w:pPr>
        <w:pStyle w:val="webnormal"/>
      </w:pPr>
      <w:r w:rsidRPr="00110361">
        <w:t xml:space="preserve">For Medical Review purposes, once a potential problem is identified through data analysis, a </w:t>
      </w:r>
      <w:r w:rsidR="000A1487">
        <w:t xml:space="preserve">targeted </w:t>
      </w:r>
      <w:r w:rsidRPr="00110361">
        <w:t xml:space="preserve">probe </w:t>
      </w:r>
      <w:r w:rsidR="000A1487">
        <w:t xml:space="preserve">and educate (TPE) </w:t>
      </w:r>
      <w:r w:rsidRPr="00110361">
        <w:t xml:space="preserve">review </w:t>
      </w:r>
      <w:r w:rsidRPr="007648EF">
        <w:rPr>
          <w:rStyle w:val="webitalics"/>
        </w:rPr>
        <w:t>(sample claim review)</w:t>
      </w:r>
      <w:r w:rsidRPr="00110361">
        <w:t xml:space="preserve"> may be conducted in order to determine the nature and extent of the potential problem. As the result of the probe review findings, subsequent corrective actions may be needed. A variety of corrective actions, ranging from educational interventions to </w:t>
      </w:r>
      <w:r w:rsidR="00793B22">
        <w:t>additional rounds of TPE probe reviews</w:t>
      </w:r>
      <w:r w:rsidRPr="00110361">
        <w:t>, may be necessary in order to correct inappropriate billings. Novitas Solutions uses the administrative action</w:t>
      </w:r>
      <w:r w:rsidRPr="007648EF">
        <w:rPr>
          <w:rStyle w:val="webitalics"/>
        </w:rPr>
        <w:t>(s)</w:t>
      </w:r>
      <w:r w:rsidRPr="00110361">
        <w:t xml:space="preserve"> that commensurate with the magnitude of the problem identified. Reviews may be conducted on a prepayment or post payment basis; however, Novitas Solutions’ current emphasis is on prepayment medical review. At any time during the course of a review, if evidence of fraud is detected, a referral will be made for further development to the appropriate</w:t>
      </w:r>
      <w:r w:rsidR="00A228DC">
        <w:t xml:space="preserve"> Unified Program Integrity Contractor</w:t>
      </w:r>
      <w:r w:rsidRPr="00110361">
        <w:t xml:space="preserve"> </w:t>
      </w:r>
      <w:r w:rsidR="00A228DC">
        <w:t>(UPIC)</w:t>
      </w:r>
      <w:r w:rsidRPr="00110361">
        <w:t xml:space="preserve">. Progressive correction action does not apply when evidence of fraud is present. </w:t>
      </w:r>
      <w:r w:rsidR="00E5541B">
        <w:t xml:space="preserve">For additional information on benefit integrity and </w:t>
      </w:r>
      <w:r w:rsidR="00A228DC">
        <w:t>UPICs</w:t>
      </w:r>
      <w:r w:rsidR="00E5541B">
        <w:t>, please r</w:t>
      </w:r>
      <w:r w:rsidRPr="00110361">
        <w:t>efer to</w:t>
      </w:r>
      <w:r w:rsidR="0035093A">
        <w:t xml:space="preserve"> </w:t>
      </w:r>
      <w:r w:rsidR="00AE61B7">
        <w:t xml:space="preserve">our </w:t>
      </w:r>
      <w:hyperlink r:id="rId10" w:history="1">
        <w:r w:rsidR="00AE61B7">
          <w:rPr>
            <w:rStyle w:val="Hyperlink"/>
          </w:rPr>
          <w:t>Fraud and Abuse</w:t>
        </w:r>
      </w:hyperlink>
      <w:r w:rsidR="006110B8">
        <w:t xml:space="preserve"> article</w:t>
      </w:r>
      <w:r w:rsidR="00E5541B">
        <w:t xml:space="preserve"> on our website</w:t>
      </w:r>
      <w:r w:rsidRPr="00110361">
        <w:t>.</w:t>
      </w:r>
    </w:p>
    <w:p w14:paraId="1D0EEEFF" w14:textId="3A967F9C" w:rsidR="00110361" w:rsidRPr="00110361" w:rsidRDefault="00110361" w:rsidP="00110361">
      <w:pPr>
        <w:pStyle w:val="webnormal"/>
      </w:pPr>
      <w:r w:rsidRPr="00110361">
        <w:t xml:space="preserve">Based on the review of medical records and other supporting documentation, an assessment of the problem will be completed. This will result in the classification of the problem as “minor”, “moderate”, or “major” </w:t>
      </w:r>
      <w:r w:rsidR="000A1487">
        <w:t xml:space="preserve">concern </w:t>
      </w:r>
      <w:r w:rsidRPr="00110361">
        <w:t xml:space="preserve">and </w:t>
      </w:r>
      <w:r w:rsidR="000A1487">
        <w:t xml:space="preserve">Novitas will </w:t>
      </w:r>
      <w:r w:rsidRPr="00110361">
        <w:t>initiate additional administrative measures</w:t>
      </w:r>
      <w:r w:rsidR="000A1487">
        <w:t xml:space="preserve"> (see our </w:t>
      </w:r>
      <w:hyperlink r:id="rId11" w:history="1">
        <w:r w:rsidR="000A1487">
          <w:rPr>
            <w:rStyle w:val="Hyperlink"/>
          </w:rPr>
          <w:t>Targeted Probe and Educate Overview</w:t>
        </w:r>
      </w:hyperlink>
      <w:bookmarkStart w:id="6" w:name="_GoBack"/>
      <w:bookmarkEnd w:id="6"/>
      <w:r w:rsidR="000A1487">
        <w:t xml:space="preserve"> article for additional information)</w:t>
      </w:r>
      <w:r w:rsidRPr="00110361">
        <w:t>. Categories are determined by error rate, history of errors, and dollars involved. In addition, mitigating and aggravating circumstances are considered. Examples include: self-disclosed audits conducted by the provider, voluntary disclosures of a problem by the provider, previous educational efforts, repeated identification on data analysis reports, beneficiary complaints, history of billing problems/concerns, adverse findings from previous probes/reviews and quality issues, or quality of care concerns.</w:t>
      </w:r>
    </w:p>
    <w:p w14:paraId="1D0EEF00" w14:textId="77777777" w:rsidR="00110361" w:rsidRPr="0069304F" w:rsidRDefault="00110361" w:rsidP="00110361">
      <w:pPr>
        <w:pStyle w:val="webnormal"/>
        <w:rPr>
          <w:rStyle w:val="webbold"/>
        </w:rPr>
      </w:pPr>
      <w:r w:rsidRPr="0069304F">
        <w:rPr>
          <w:rStyle w:val="webbold"/>
        </w:rPr>
        <w:t>Education is the key element in PCA</w:t>
      </w:r>
    </w:p>
    <w:p w14:paraId="1D0EEF01" w14:textId="2E97DA7B" w:rsidR="00110361" w:rsidRPr="00110361" w:rsidRDefault="00110361" w:rsidP="00110361">
      <w:pPr>
        <w:pStyle w:val="webnormal"/>
      </w:pPr>
      <w:r w:rsidRPr="00110361">
        <w:lastRenderedPageBreak/>
        <w:t>For a minor</w:t>
      </w:r>
      <w:r w:rsidR="00793B22">
        <w:t xml:space="preserve"> (zero or low error rates) </w:t>
      </w:r>
      <w:r w:rsidR="000A1487">
        <w:t>concern</w:t>
      </w:r>
      <w:r w:rsidRPr="00110361">
        <w:t>, Medical Review will educate the provider on appropriate coverage, coding, and billing procedures and will pursue recoupment of any claims paid in error. Educational contacts will be made through educational letters and/or telephone. Medical Review may conduct further analysis or another probe review at a later date to ensure the problem was corrected.</w:t>
      </w:r>
    </w:p>
    <w:p w14:paraId="16A5BC5F" w14:textId="7DC0A622" w:rsidR="000A1487" w:rsidRDefault="00110361" w:rsidP="00A228DC">
      <w:pPr>
        <w:pStyle w:val="webnormal"/>
      </w:pPr>
      <w:r w:rsidRPr="00110361">
        <w:t xml:space="preserve">For a moderate </w:t>
      </w:r>
      <w:r w:rsidR="000A1487">
        <w:t>or major (significant or high error rates) concern</w:t>
      </w:r>
      <w:r w:rsidRPr="00110361">
        <w:t xml:space="preserve">, Medical Review will educate the provider on appropriate coverage, coding and billing procedures, and will pursue recoupment of any claims paid in error. Educational contacts will be made through educational letters and telephone conferences. Additionally, Medical Review may initiate </w:t>
      </w:r>
      <w:r w:rsidR="000A1487">
        <w:t>additional rounds of TPE probe</w:t>
      </w:r>
      <w:r w:rsidRPr="00110361">
        <w:t xml:space="preserve"> review </w:t>
      </w:r>
      <w:r w:rsidRPr="007648EF">
        <w:rPr>
          <w:rStyle w:val="webitalics"/>
        </w:rPr>
        <w:t>(i.e., specific to only the procedure in question)</w:t>
      </w:r>
      <w:r w:rsidRPr="00110361">
        <w:t xml:space="preserve"> until the provider has demonstrated correction of his/her billing procedures.</w:t>
      </w:r>
      <w:r w:rsidR="000A1487">
        <w:t xml:space="preserve"> </w:t>
      </w:r>
    </w:p>
    <w:p w14:paraId="1D0EEF03" w14:textId="20B49769" w:rsidR="00110361" w:rsidRPr="00110361" w:rsidRDefault="000A1487" w:rsidP="00A228DC">
      <w:pPr>
        <w:pStyle w:val="webnormal"/>
      </w:pPr>
      <w:r>
        <w:t>If there is still a moderate or major concern after 3 rounds of TPE probe review</w:t>
      </w:r>
      <w:r w:rsidR="00110361" w:rsidRPr="00110361">
        <w:t xml:space="preserve">, Medical Review will educate the provider on appropriate coverage, coding and billing procedures, will pursue recoupment of any claim paid in error, and will initiate </w:t>
      </w:r>
      <w:r>
        <w:t>referral to the CMS for additional</w:t>
      </w:r>
      <w:r w:rsidR="00110361" w:rsidRPr="00110361">
        <w:t xml:space="preserve"> administrative </w:t>
      </w:r>
      <w:r w:rsidR="00110361" w:rsidRPr="00A228DC">
        <w:t xml:space="preserve">action (i.e., any combination of </w:t>
      </w:r>
      <w:r>
        <w:t>additional TPE probe review, 100% prepa</w:t>
      </w:r>
      <w:r w:rsidR="00110361" w:rsidRPr="00A228DC">
        <w:t>yment provider review, consent/</w:t>
      </w:r>
      <w:r w:rsidR="00F70638" w:rsidRPr="00A228DC">
        <w:t xml:space="preserve"> </w:t>
      </w:r>
      <w:r w:rsidR="007648EF" w:rsidRPr="00A228DC">
        <w:t>SSOE (</w:t>
      </w:r>
      <w:r w:rsidR="00F70638" w:rsidRPr="00A228DC">
        <w:t>Statistical Sam</w:t>
      </w:r>
      <w:r w:rsidR="007648EF" w:rsidRPr="00A228DC">
        <w:t>pling for Overpayment Estimates</w:t>
      </w:r>
      <w:r w:rsidR="00F70638" w:rsidRPr="00A228DC">
        <w:t>)</w:t>
      </w:r>
      <w:r w:rsidR="0061322A" w:rsidRPr="00A228DC">
        <w:t xml:space="preserve"> </w:t>
      </w:r>
      <w:r w:rsidR="00110361" w:rsidRPr="00A228DC">
        <w:t xml:space="preserve">cases, payment suspension and/or referral to the </w:t>
      </w:r>
      <w:r w:rsidR="00A228DC" w:rsidRPr="00A228DC">
        <w:t>UPIC</w:t>
      </w:r>
      <w:r w:rsidR="00110361" w:rsidRPr="00A228DC">
        <w:t xml:space="preserve"> if and when appropriate). Educational</w:t>
      </w:r>
      <w:r w:rsidR="00110361" w:rsidRPr="00110361">
        <w:t xml:space="preserve"> contacts will be made through educational letters and telephone conferences.</w:t>
      </w:r>
    </w:p>
    <w:p w14:paraId="1D0EEF04" w14:textId="048F899A" w:rsidR="00110361" w:rsidRPr="002B3F93" w:rsidRDefault="00110361" w:rsidP="0069304F">
      <w:pPr>
        <w:pStyle w:val="webheader3"/>
        <w:rPr>
          <w:rStyle w:val="webbold"/>
          <w:rFonts w:ascii="Verdana" w:hAnsi="Verdana"/>
          <w:b/>
        </w:rPr>
      </w:pPr>
      <w:bookmarkStart w:id="7" w:name="19.3d"/>
      <w:bookmarkEnd w:id="7"/>
      <w:r w:rsidRPr="002B3F93">
        <w:rPr>
          <w:rStyle w:val="webbold"/>
          <w:rFonts w:ascii="Verdana" w:hAnsi="Verdana"/>
          <w:b/>
        </w:rPr>
        <w:t>Prepayment vs Post</w:t>
      </w:r>
      <w:r w:rsidR="00AE61B7">
        <w:rPr>
          <w:rStyle w:val="webbold"/>
        </w:rPr>
        <w:t xml:space="preserve"> </w:t>
      </w:r>
      <w:r w:rsidRPr="002B3F93">
        <w:rPr>
          <w:rStyle w:val="webbold"/>
          <w:rFonts w:ascii="Verdana" w:hAnsi="Verdana"/>
          <w:b/>
        </w:rPr>
        <w:t>payment Medical Review</w:t>
      </w:r>
    </w:p>
    <w:p w14:paraId="1D0EEF05" w14:textId="77777777" w:rsidR="00110361" w:rsidRPr="00110361" w:rsidRDefault="00110361" w:rsidP="00110361">
      <w:pPr>
        <w:pStyle w:val="webnormal"/>
      </w:pPr>
      <w:r w:rsidRPr="00110361">
        <w:t>Novitas Solutions is required to review documentation that substantiates information reported on claims submitted for reimbursement. We do this to ensure that the Medicare Program reimburses only for covered, medically necessary, items or services furnished to eligible beneficiaries by qualified providers or suppliers. For the most part, contractors routinely rely on the good faith of the providers/suppliers to submit only appropriate claims to the Medicare Program. However, contractors do periodically review some documentation supporting claims prior to making payment.</w:t>
      </w:r>
    </w:p>
    <w:p w14:paraId="1D0EEF06" w14:textId="16DCDCFE" w:rsidR="00110361" w:rsidRPr="00110361" w:rsidRDefault="00110361" w:rsidP="00110361">
      <w:pPr>
        <w:pStyle w:val="webnormal"/>
      </w:pPr>
      <w:r w:rsidRPr="00110361">
        <w:t>In prioritizing the use of limited resources, CMS has instructed contractors to increase the effectiveness and improve the efficiency of prepayment medical review. Consequently, Novitas Solutions will periodically revise/replace prepayment edits that are used to select claims which relate to certain items, services or providers and review other types of claims submitted. To reduce the risk to the Medicare Program for payment of services that should not be reimbursed, appropriate administrative actions may be implemented. These may include the continuation of claim reviews and/or the development of local policies</w:t>
      </w:r>
      <w:r w:rsidRPr="00F3549A">
        <w:rPr>
          <w:rStyle w:val="webitalics"/>
        </w:rPr>
        <w:t xml:space="preserve"> (i.e., LCDs). </w:t>
      </w:r>
      <w:r w:rsidRPr="00110361">
        <w:t>Contractors may apply LCDs on a prepayment or post</w:t>
      </w:r>
      <w:r w:rsidR="00AE61B7">
        <w:t xml:space="preserve"> </w:t>
      </w:r>
      <w:r w:rsidRPr="00110361">
        <w:t>payment basis. Novitas Solutions may determine that certain policies, while still in effect, are more effectively applied on a post</w:t>
      </w:r>
      <w:r w:rsidR="00AE61B7">
        <w:t xml:space="preserve"> </w:t>
      </w:r>
      <w:r w:rsidRPr="00110361">
        <w:t>payment basis; and will no longer be applied on a prepayment basis. We continue to expect providers and suppliers who bill for these types of services to do so consistent with the billing instructions, national policy, LCDs, and standards of medical practice.</w:t>
      </w:r>
    </w:p>
    <w:p w14:paraId="1D0EEF07" w14:textId="77777777" w:rsidR="00110361" w:rsidRPr="002B3F93" w:rsidRDefault="00110361" w:rsidP="0069304F">
      <w:pPr>
        <w:pStyle w:val="webheader3"/>
        <w:rPr>
          <w:rStyle w:val="webbold"/>
          <w:rFonts w:ascii="Verdana" w:hAnsi="Verdana"/>
          <w:b/>
        </w:rPr>
      </w:pPr>
      <w:bookmarkStart w:id="8" w:name="19.3e"/>
      <w:bookmarkEnd w:id="8"/>
      <w:r w:rsidRPr="002B3F93">
        <w:rPr>
          <w:rStyle w:val="webbold"/>
          <w:rFonts w:ascii="Verdana" w:hAnsi="Verdana"/>
          <w:b/>
        </w:rPr>
        <w:t>Record Development</w:t>
      </w:r>
    </w:p>
    <w:p w14:paraId="1D0EEF08" w14:textId="77777777" w:rsidR="00110361" w:rsidRPr="00110361" w:rsidRDefault="00110361" w:rsidP="00110361">
      <w:pPr>
        <w:pStyle w:val="webnormal"/>
      </w:pPr>
      <w:r w:rsidRPr="00110361">
        <w:t xml:space="preserve">The process whereby a contractor requests additional documentation after claim receipt is known as </w:t>
      </w:r>
      <w:r w:rsidRPr="00633C4D">
        <w:rPr>
          <w:rStyle w:val="webbold"/>
        </w:rPr>
        <w:t>"development"</w:t>
      </w:r>
      <w:r w:rsidRPr="00110361">
        <w:t xml:space="preserve">. When a coverage or coding determination cannot be made based upon the information on the claim and its attachments </w:t>
      </w:r>
      <w:r w:rsidRPr="00F3549A">
        <w:rPr>
          <w:rStyle w:val="webitalics"/>
        </w:rPr>
        <w:t>(e.g., due to a medical review of the service/claim)</w:t>
      </w:r>
      <w:r w:rsidRPr="00110361">
        <w:t>, contractors may solicit for more information from the provider by issuing an</w:t>
      </w:r>
      <w:r w:rsidR="00F3549A" w:rsidRPr="00F3549A">
        <w:t xml:space="preserve"> </w:t>
      </w:r>
      <w:r w:rsidR="00F3549A" w:rsidRPr="00110361">
        <w:t>ADR</w:t>
      </w:r>
      <w:r w:rsidRPr="00110361">
        <w:t xml:space="preserve"> </w:t>
      </w:r>
      <w:r w:rsidR="00F3549A" w:rsidRPr="00F3549A">
        <w:rPr>
          <w:rStyle w:val="webitalics"/>
        </w:rPr>
        <w:t>(</w:t>
      </w:r>
      <w:r w:rsidRPr="00F3549A">
        <w:rPr>
          <w:rStyle w:val="webitalics"/>
        </w:rPr>
        <w:t>Ad</w:t>
      </w:r>
      <w:r w:rsidR="00F3549A" w:rsidRPr="00F3549A">
        <w:rPr>
          <w:rStyle w:val="webitalics"/>
        </w:rPr>
        <w:t>ditional Documentation Request</w:t>
      </w:r>
      <w:r w:rsidRPr="00F3549A">
        <w:rPr>
          <w:rStyle w:val="webitalics"/>
        </w:rPr>
        <w:t xml:space="preserve">). </w:t>
      </w:r>
      <w:r w:rsidRPr="00110361">
        <w:t>Novitas Solutions will specify in the development letter or ADR the piece</w:t>
      </w:r>
      <w:r w:rsidRPr="00F3549A">
        <w:rPr>
          <w:rStyle w:val="webitalics"/>
        </w:rPr>
        <w:t xml:space="preserve">(s) </w:t>
      </w:r>
      <w:r w:rsidRPr="00110361">
        <w:t>of documentation needed to make the coverage or coding determination.</w:t>
      </w:r>
    </w:p>
    <w:p w14:paraId="1D0EEF09" w14:textId="77777777" w:rsidR="00110361" w:rsidRPr="00110361" w:rsidRDefault="00110361" w:rsidP="00110361">
      <w:pPr>
        <w:pStyle w:val="webnormal"/>
      </w:pPr>
      <w:r w:rsidRPr="00110361">
        <w:t xml:space="preserve">If during a prepayment or post payment review, a development letter regarding a targeted service is sent, Novitas Solutions typically solicits the documentation from the billing provider, but may solicit documentation from other entities </w:t>
      </w:r>
      <w:r w:rsidRPr="00F3549A">
        <w:rPr>
          <w:rStyle w:val="webitalics"/>
        </w:rPr>
        <w:t>(third parties)</w:t>
      </w:r>
      <w:r w:rsidRPr="00110361">
        <w:t xml:space="preserve"> involved in the beneficiary’s care on an as-needed basis.</w:t>
      </w:r>
    </w:p>
    <w:p w14:paraId="1D0EEF0A" w14:textId="5791A36C" w:rsidR="00110361" w:rsidRPr="00110361" w:rsidRDefault="00F70638" w:rsidP="00110361">
      <w:pPr>
        <w:pStyle w:val="webnormal"/>
      </w:pPr>
      <w:r w:rsidRPr="00F70638">
        <w:lastRenderedPageBreak/>
        <w:t xml:space="preserve">Providers selected for review are responsible for submitting requested medical records or other supporting documentation to the contractor within established timeframes. Providers </w:t>
      </w:r>
      <w:r>
        <w:t xml:space="preserve">selected for </w:t>
      </w:r>
      <w:r w:rsidRPr="00F70638">
        <w:t xml:space="preserve">a prepay review are notified that they have 45 calendar days from the date of the initial development letter to provide the requested documentation. If the information requested is not received within 45 days, the service/claim may be denied. Providers </w:t>
      </w:r>
      <w:r>
        <w:t xml:space="preserve">selected for </w:t>
      </w:r>
      <w:r w:rsidRPr="00F70638">
        <w:t xml:space="preserve">a post payment review are notified that they have </w:t>
      </w:r>
      <w:r w:rsidR="003D053C">
        <w:t>45</w:t>
      </w:r>
      <w:r w:rsidRPr="00F70638">
        <w:t xml:space="preserve"> calendar days from the date of the initial development letter to provide the requested documentation. In rare instances, Novitas Solutions has the discretion to grant an extension of </w:t>
      </w:r>
      <w:r w:rsidR="003D053C">
        <w:t xml:space="preserve">post payment </w:t>
      </w:r>
      <w:r w:rsidRPr="00F70638">
        <w:t>timeframes based upon the provider’s individual request.</w:t>
      </w:r>
    </w:p>
    <w:p w14:paraId="4990F3E6" w14:textId="27184E11" w:rsidR="002E2AD5" w:rsidRPr="00110361" w:rsidRDefault="00110361" w:rsidP="00110361">
      <w:pPr>
        <w:pStyle w:val="webnormal"/>
      </w:pPr>
      <w:r w:rsidRPr="00110361">
        <w:t xml:space="preserve">Requested medical records or any other supporting documentation should be </w:t>
      </w:r>
      <w:proofErr w:type="gramStart"/>
      <w:r w:rsidRPr="00110361">
        <w:t>faxed/mailed</w:t>
      </w:r>
      <w:proofErr w:type="gramEnd"/>
      <w:r w:rsidRPr="00110361">
        <w:t xml:space="preserve"> to the number/address referenced in the development letter or ADR. The </w:t>
      </w:r>
      <w:r w:rsidR="00F3549A" w:rsidRPr="00110361">
        <w:t xml:space="preserve">DOS </w:t>
      </w:r>
      <w:r w:rsidR="00F3549A" w:rsidRPr="00F3549A">
        <w:rPr>
          <w:rStyle w:val="webitalics"/>
        </w:rPr>
        <w:t>(date of service</w:t>
      </w:r>
      <w:r w:rsidRPr="00F3549A">
        <w:rPr>
          <w:rStyle w:val="webitalics"/>
        </w:rPr>
        <w:t xml:space="preserve">) </w:t>
      </w:r>
      <w:r w:rsidRPr="00110361">
        <w:t xml:space="preserve">referenced in the development letter or ADR should be validated against the medical records that are sent to ensure that the dates of service correspond. Additionally, all records/pages that are pertinent to the DOS and/or establish medical necessity should be copied and sent. If legibility of the medical record is questionable, a transcription of the medical record, in addition to a copy of the original medical record, should be sent. </w:t>
      </w:r>
      <w:r w:rsidR="003D053C">
        <w:t>The provider must also</w:t>
      </w:r>
      <w:r w:rsidRPr="00110361">
        <w:t xml:space="preserve"> ensure that the medical record contains </w:t>
      </w:r>
      <w:r w:rsidR="002E2AD5" w:rsidRPr="00110361">
        <w:t>a valid</w:t>
      </w:r>
      <w:r w:rsidR="002E2AD5">
        <w:t>,</w:t>
      </w:r>
      <w:r w:rsidR="002E2AD5" w:rsidRPr="00110361">
        <w:t xml:space="preserve"> legible physician </w:t>
      </w:r>
      <w:proofErr w:type="gramStart"/>
      <w:r w:rsidR="002E2AD5" w:rsidRPr="00110361">
        <w:t>signature</w:t>
      </w:r>
      <w:r w:rsidR="002E2AD5">
        <w:t>, that complies</w:t>
      </w:r>
      <w:r w:rsidR="003D053C">
        <w:t xml:space="preserve"> with </w:t>
      </w:r>
      <w:r w:rsidR="002E2AD5">
        <w:t xml:space="preserve">all Medicare requirements </w:t>
      </w:r>
      <w:r w:rsidR="003D053C">
        <w:t>(</w:t>
      </w:r>
      <w:r w:rsidR="002E2AD5">
        <w:t xml:space="preserve">see </w:t>
      </w:r>
      <w:hyperlink r:id="rId12" w:history="1">
        <w:r w:rsidR="003D053C">
          <w:rPr>
            <w:rStyle w:val="Hyperlink"/>
          </w:rPr>
          <w:t>CMS Program Integrity Manual, Chapter 3, Section 3.3.2.4</w:t>
        </w:r>
      </w:hyperlink>
      <w:proofErr w:type="gramEnd"/>
      <w:r w:rsidR="002E2AD5">
        <w:t xml:space="preserve"> for additional information).</w:t>
      </w:r>
    </w:p>
    <w:p w14:paraId="1D0EEF0E" w14:textId="150B54AC" w:rsidR="00110361" w:rsidRPr="00110361" w:rsidRDefault="00110361" w:rsidP="00DB7515">
      <w:pPr>
        <w:pStyle w:val="webnormal"/>
      </w:pPr>
      <w:r w:rsidRPr="00110361">
        <w:t xml:space="preserve">When initiating provider-specific </w:t>
      </w:r>
      <w:r w:rsidR="002E2AD5">
        <w:t xml:space="preserve">TPE </w:t>
      </w:r>
      <w:r w:rsidRPr="00110361">
        <w:t>prepayment review or post</w:t>
      </w:r>
      <w:r w:rsidR="002E2AD5">
        <w:t>-</w:t>
      </w:r>
      <w:r w:rsidRPr="00110361">
        <w:t>pay</w:t>
      </w:r>
      <w:r w:rsidR="002E2AD5">
        <w:t>ment</w:t>
      </w:r>
      <w:r w:rsidRPr="00110361">
        <w:t xml:space="preserve"> review</w:t>
      </w:r>
      <w:r w:rsidR="002E2AD5">
        <w:t xml:space="preserve">, </w:t>
      </w:r>
      <w:r w:rsidRPr="00110361">
        <w:t>providers are notified of the following:</w:t>
      </w:r>
    </w:p>
    <w:p w14:paraId="1D0EEF0F" w14:textId="77777777" w:rsidR="00110361" w:rsidRPr="00110361" w:rsidRDefault="00110361" w:rsidP="00633C4D">
      <w:pPr>
        <w:pStyle w:val="webbullet3"/>
      </w:pPr>
      <w:r w:rsidRPr="00110361">
        <w:t>Selection for review and the specific reason for such selection;</w:t>
      </w:r>
    </w:p>
    <w:p w14:paraId="1D0EEF10" w14:textId="48D3D8E8" w:rsidR="00110361" w:rsidRPr="00110361" w:rsidRDefault="00110361" w:rsidP="00633C4D">
      <w:pPr>
        <w:pStyle w:val="webbullet3"/>
      </w:pPr>
      <w:r w:rsidRPr="00110361">
        <w:t>Whether the review will occur on a prepayment or post</w:t>
      </w:r>
      <w:r w:rsidR="002E2AD5">
        <w:t>-</w:t>
      </w:r>
      <w:r w:rsidRPr="00110361">
        <w:t>payment basis; and</w:t>
      </w:r>
    </w:p>
    <w:p w14:paraId="1D0EEF11" w14:textId="6EBBFD95" w:rsidR="00110361" w:rsidRPr="00110361" w:rsidRDefault="00110361" w:rsidP="00633C4D">
      <w:pPr>
        <w:pStyle w:val="webbullet3"/>
      </w:pPr>
      <w:r w:rsidRPr="00110361">
        <w:t>The claims and/or services for which medical records are required.</w:t>
      </w:r>
    </w:p>
    <w:p w14:paraId="1D0EEF12" w14:textId="77777777" w:rsidR="00110361" w:rsidRPr="00110361" w:rsidRDefault="00110361" w:rsidP="00110361">
      <w:pPr>
        <w:pStyle w:val="webnormal"/>
      </w:pPr>
      <w:r w:rsidRPr="00110361">
        <w:t xml:space="preserve">For responses to </w:t>
      </w:r>
      <w:r w:rsidR="00F70638">
        <w:t>prepay reviews</w:t>
      </w:r>
      <w:r w:rsidR="00F70638" w:rsidRPr="00110361">
        <w:t xml:space="preserve"> </w:t>
      </w:r>
      <w:r w:rsidRPr="00110361">
        <w:t xml:space="preserve">received within the 45-day timeframe, Novitas Solutions will complete the review and notify the provider and beneficiary, if indicated, of the claim determination within </w:t>
      </w:r>
      <w:r w:rsidR="003B74D6">
        <w:t>30</w:t>
      </w:r>
      <w:r w:rsidRPr="00110361">
        <w:t xml:space="preserve"> days of receiving all the requested documentation. For record or documentation requests where no timely response was received, Novitas Solutions will indicate that the denial was made without reviewing the medical record because the requested records were not received or were not received timely.</w:t>
      </w:r>
    </w:p>
    <w:p w14:paraId="1D0EEF13" w14:textId="77777777" w:rsidR="00110361" w:rsidRPr="00110361" w:rsidRDefault="00110361" w:rsidP="00110361">
      <w:pPr>
        <w:pStyle w:val="webnormal"/>
      </w:pPr>
      <w:r w:rsidRPr="00110361">
        <w:t>When claims are selected for review, physicians, providers and suppliers are responsible for submitting requested medical records or other supporting documentation to Novitas Solutions within the designated timeframes. If the information requested is not received within the designated timeframe, the service/claim may be denied.</w:t>
      </w:r>
    </w:p>
    <w:p w14:paraId="1D0EEF14" w14:textId="77777777" w:rsidR="00110361" w:rsidRDefault="00110361" w:rsidP="00110361">
      <w:pPr>
        <w:pStyle w:val="webnormal"/>
      </w:pPr>
      <w:r w:rsidRPr="00110361">
        <w:t xml:space="preserve">The </w:t>
      </w:r>
      <w:r w:rsidR="00F3549A" w:rsidRPr="00110361">
        <w:t xml:space="preserve">HIPAA </w:t>
      </w:r>
      <w:r w:rsidR="00F3549A" w:rsidRPr="00F3549A">
        <w:rPr>
          <w:rStyle w:val="webitalics"/>
        </w:rPr>
        <w:t>(</w:t>
      </w:r>
      <w:r w:rsidRPr="00F3549A">
        <w:rPr>
          <w:rStyle w:val="webitalics"/>
        </w:rPr>
        <w:t>Health Insurance Port</w:t>
      </w:r>
      <w:r w:rsidR="00F3549A" w:rsidRPr="00F3549A">
        <w:rPr>
          <w:rStyle w:val="webitalics"/>
        </w:rPr>
        <w:t>ability and Accountability Act</w:t>
      </w:r>
      <w:r w:rsidRPr="00F3549A">
        <w:rPr>
          <w:rStyle w:val="webitalics"/>
        </w:rPr>
        <w:t>)</w:t>
      </w:r>
      <w:r w:rsidRPr="00110361">
        <w:t xml:space="preserve"> Privacy Rule permits disclosure of personal health information to carry out treatment, payment or health care operations. When Medicare beneficiaries enroll in the program, they are informed of Medicare’s use of their personal health information to carry out health care operations. Providing the requested documentation to Novitas Solutions does not violate the minimum necessary provision of the HIPAA Privacy Rule and does not require beneficiary authorization.</w:t>
      </w:r>
    </w:p>
    <w:p w14:paraId="1D0EEF15" w14:textId="77777777" w:rsidR="00110361" w:rsidRPr="002B3F93" w:rsidRDefault="00110361" w:rsidP="0069304F">
      <w:pPr>
        <w:pStyle w:val="webheader3"/>
        <w:rPr>
          <w:rStyle w:val="webbold"/>
          <w:rFonts w:ascii="Verdana" w:hAnsi="Verdana"/>
          <w:b/>
        </w:rPr>
      </w:pPr>
      <w:r w:rsidRPr="002B3F93">
        <w:rPr>
          <w:rStyle w:val="webbold"/>
          <w:rFonts w:ascii="Verdana" w:hAnsi="Verdana"/>
          <w:b/>
        </w:rPr>
        <w:t>Appeals</w:t>
      </w:r>
    </w:p>
    <w:p w14:paraId="1D0EEF16" w14:textId="77777777" w:rsidR="00110361" w:rsidRPr="00110361" w:rsidRDefault="00110361" w:rsidP="00110361">
      <w:pPr>
        <w:pStyle w:val="webnormal"/>
      </w:pPr>
      <w:r w:rsidRPr="00110361">
        <w:t>If a provider disagrees with a Medical Review determination, the provider may request an independent re-examination of a claim consistent with the CMS appeal process. A redetermination may be requested if the provider is dissatisfied with the amount Medicare paid on the claim, or if the claim was denied because Medicare determined the service</w:t>
      </w:r>
      <w:r w:rsidRPr="00F3549A">
        <w:rPr>
          <w:rStyle w:val="webitalics"/>
        </w:rPr>
        <w:t>(s)</w:t>
      </w:r>
      <w:r w:rsidRPr="00110361">
        <w:t xml:space="preserve"> was not reasonable or necessary or not allowable due to coverage guidelines. Please refer to the</w:t>
      </w:r>
      <w:r w:rsidR="00B8585D">
        <w:t xml:space="preserve"> </w:t>
      </w:r>
      <w:r w:rsidR="00B8585D" w:rsidRPr="00B8585D">
        <w:t>Appeals Center</w:t>
      </w:r>
      <w:r w:rsidR="00B8585D">
        <w:t xml:space="preserve"> (</w:t>
      </w:r>
      <w:hyperlink r:id="rId13" w:history="1">
        <w:r w:rsidR="00B8585D" w:rsidRPr="00B8585D">
          <w:rPr>
            <w:rStyle w:val="Hyperlink"/>
          </w:rPr>
          <w:t>JH</w:t>
        </w:r>
      </w:hyperlink>
      <w:r w:rsidR="00B8585D">
        <w:t>) (</w:t>
      </w:r>
      <w:hyperlink r:id="rId14" w:history="1">
        <w:r w:rsidR="00B8585D" w:rsidRPr="00B8585D">
          <w:rPr>
            <w:rStyle w:val="Hyperlink"/>
          </w:rPr>
          <w:t>JL</w:t>
        </w:r>
      </w:hyperlink>
      <w:r w:rsidR="00B8585D">
        <w:t xml:space="preserve">) of our website </w:t>
      </w:r>
      <w:r w:rsidRPr="00110361">
        <w:t>for specific instructions on how to appeal a claim or redetermination.</w:t>
      </w:r>
    </w:p>
    <w:p w14:paraId="1D0EEF17" w14:textId="3CFC38B0" w:rsidR="00110361" w:rsidRPr="00110361" w:rsidRDefault="00110361" w:rsidP="00110361">
      <w:pPr>
        <w:pStyle w:val="webnormal"/>
      </w:pPr>
      <w:r w:rsidRPr="00110361">
        <w:t xml:space="preserve">Subsequent progressive actions </w:t>
      </w:r>
      <w:r w:rsidRPr="00F3549A">
        <w:rPr>
          <w:rStyle w:val="webitalics"/>
        </w:rPr>
        <w:t xml:space="preserve">(i.e., </w:t>
      </w:r>
      <w:r w:rsidR="002E2AD5">
        <w:rPr>
          <w:rStyle w:val="webitalics"/>
        </w:rPr>
        <w:t xml:space="preserve">additional round of TPE </w:t>
      </w:r>
      <w:r w:rsidRPr="00F3549A">
        <w:rPr>
          <w:rStyle w:val="webitalics"/>
        </w:rPr>
        <w:t>review)</w:t>
      </w:r>
      <w:r w:rsidRPr="00110361">
        <w:t xml:space="preserve"> may NOT be pended or placed on hold for the results of an appeal decision from a previous case.</w:t>
      </w:r>
      <w:r w:rsidR="002E2AD5">
        <w:t xml:space="preserve"> However, please note that Novitas </w:t>
      </w:r>
      <w:r w:rsidR="002E2AD5">
        <w:lastRenderedPageBreak/>
        <w:t>takes into consideration all appeals overturned prior to initiating a subsequent TPE round of revi</w:t>
      </w:r>
      <w:r w:rsidR="00D637FA">
        <w:t>ew if finalized prior to the start of review</w:t>
      </w:r>
      <w:r w:rsidR="002E2AD5">
        <w:t xml:space="preserve">. </w:t>
      </w:r>
    </w:p>
    <w:p w14:paraId="1D0EEF18" w14:textId="77777777" w:rsidR="00110361" w:rsidRDefault="00110361" w:rsidP="00110361">
      <w:pPr>
        <w:pStyle w:val="webnormal"/>
      </w:pPr>
      <w:r w:rsidRPr="00110361">
        <w:t>If you determine you have been paid in error, please refer to</w:t>
      </w:r>
      <w:r w:rsidR="00B8585D">
        <w:t xml:space="preserve"> </w:t>
      </w:r>
      <w:r w:rsidR="0035093A">
        <w:t>the</w:t>
      </w:r>
      <w:r w:rsidR="00B8585D">
        <w:t xml:space="preserve"> </w:t>
      </w:r>
      <w:hyperlink r:id="rId15" w:history="1">
        <w:r w:rsidRPr="00707CD6">
          <w:rPr>
            <w:rStyle w:val="Hyperlink"/>
          </w:rPr>
          <w:t>Medicare Overpayments</w:t>
        </w:r>
      </w:hyperlink>
      <w:r w:rsidRPr="00110361">
        <w:t xml:space="preserve"> </w:t>
      </w:r>
      <w:r w:rsidR="00E5541B">
        <w:t>document on our website</w:t>
      </w:r>
      <w:r w:rsidR="0035093A">
        <w:t xml:space="preserve"> </w:t>
      </w:r>
      <w:r w:rsidRPr="00110361">
        <w:t>for specific instructions regarding the return of monies.</w:t>
      </w:r>
    </w:p>
    <w:p w14:paraId="1D0EEF19" w14:textId="77777777" w:rsidR="00110361" w:rsidRPr="002B3F93" w:rsidRDefault="00110361" w:rsidP="0069304F">
      <w:pPr>
        <w:pStyle w:val="webheader3"/>
        <w:rPr>
          <w:rStyle w:val="webbold"/>
          <w:rFonts w:ascii="Verdana" w:hAnsi="Verdana"/>
          <w:b/>
        </w:rPr>
      </w:pPr>
      <w:r w:rsidRPr="002B3F93">
        <w:rPr>
          <w:rStyle w:val="webbold"/>
          <w:rFonts w:ascii="Verdana" w:hAnsi="Verdana"/>
          <w:b/>
        </w:rPr>
        <w:t>Physician, Provider, and Supplier Obligations</w:t>
      </w:r>
    </w:p>
    <w:p w14:paraId="1D0EEF1A" w14:textId="77777777" w:rsidR="00110361" w:rsidRPr="00110361" w:rsidRDefault="00110361" w:rsidP="00110361">
      <w:pPr>
        <w:pStyle w:val="webnormal"/>
      </w:pPr>
      <w:r w:rsidRPr="00110361">
        <w:t>Participation in the Medicare Program requires that physicians, providers, and suppliers abide by the following obligations when submitting claims for payment:</w:t>
      </w:r>
    </w:p>
    <w:p w14:paraId="1D0EEF1B" w14:textId="77777777" w:rsidR="00110361" w:rsidRPr="00110361" w:rsidRDefault="00633C4D" w:rsidP="00633C4D">
      <w:pPr>
        <w:pStyle w:val="webnumbered1"/>
        <w:numPr>
          <w:ilvl w:val="0"/>
          <w:numId w:val="0"/>
        </w:numPr>
        <w:ind w:left="360"/>
      </w:pPr>
      <w:r>
        <w:t xml:space="preserve">1. </w:t>
      </w:r>
      <w:r w:rsidR="00110361" w:rsidRPr="00110361">
        <w:t xml:space="preserve">Bill Medicare for only reasonable and necessary medical </w:t>
      </w:r>
      <w:r w:rsidR="0035093A" w:rsidRPr="00110361">
        <w:t xml:space="preserve">services </w:t>
      </w:r>
      <w:r w:rsidR="00110361" w:rsidRPr="00110361">
        <w:br/>
      </w:r>
      <w:r w:rsidR="00110361" w:rsidRPr="00F3549A">
        <w:rPr>
          <w:rStyle w:val="webitalics"/>
        </w:rPr>
        <w:t>[42 U.S.C. § 1395y (a</w:t>
      </w:r>
      <w:proofErr w:type="gramStart"/>
      <w:r w:rsidR="00110361" w:rsidRPr="00F3549A">
        <w:rPr>
          <w:rStyle w:val="webitalics"/>
        </w:rPr>
        <w:t>)(</w:t>
      </w:r>
      <w:proofErr w:type="gramEnd"/>
      <w:r w:rsidR="00110361" w:rsidRPr="00F3549A">
        <w:rPr>
          <w:rStyle w:val="webitalics"/>
        </w:rPr>
        <w:t>1)(A)];</w:t>
      </w:r>
    </w:p>
    <w:p w14:paraId="1D0EEF1C" w14:textId="77777777" w:rsidR="00110361" w:rsidRPr="00110361" w:rsidRDefault="00633C4D" w:rsidP="00633C4D">
      <w:pPr>
        <w:pStyle w:val="webnumbered1"/>
        <w:numPr>
          <w:ilvl w:val="0"/>
          <w:numId w:val="0"/>
        </w:numPr>
        <w:ind w:left="360"/>
      </w:pPr>
      <w:r>
        <w:t xml:space="preserve">2. </w:t>
      </w:r>
      <w:r w:rsidR="00110361" w:rsidRPr="00110361">
        <w:t xml:space="preserve">Not make false statements or misrepresentations of material facts concerning requests for payment under </w:t>
      </w:r>
      <w:r w:rsidRPr="00110361">
        <w:t xml:space="preserve">Medicare </w:t>
      </w:r>
      <w:r w:rsidR="00110361" w:rsidRPr="00110361">
        <w:br/>
      </w:r>
      <w:r w:rsidR="00110361" w:rsidRPr="00F3549A">
        <w:rPr>
          <w:rStyle w:val="webitalics"/>
        </w:rPr>
        <w:t>[42 U.S.C. §§ 1320a-</w:t>
      </w:r>
      <w:proofErr w:type="gramStart"/>
      <w:r w:rsidR="00110361" w:rsidRPr="00F3549A">
        <w:rPr>
          <w:rStyle w:val="webitalics"/>
        </w:rPr>
        <w:t>7b(</w:t>
      </w:r>
      <w:proofErr w:type="gramEnd"/>
      <w:r w:rsidR="00110361" w:rsidRPr="00F3549A">
        <w:rPr>
          <w:rStyle w:val="webitalics"/>
        </w:rPr>
        <w:t>a)(1)(2), 1320a-7a; 42 CFR § 1001.101(a)(1)];</w:t>
      </w:r>
    </w:p>
    <w:p w14:paraId="1D0EEF1D" w14:textId="77777777" w:rsidR="00110361" w:rsidRPr="00110361" w:rsidRDefault="00633C4D" w:rsidP="00633C4D">
      <w:pPr>
        <w:pStyle w:val="webnumbered1"/>
        <w:numPr>
          <w:ilvl w:val="0"/>
          <w:numId w:val="0"/>
        </w:numPr>
        <w:ind w:left="360"/>
      </w:pPr>
      <w:r>
        <w:t xml:space="preserve">3. </w:t>
      </w:r>
      <w:r w:rsidR="00110361" w:rsidRPr="00110361">
        <w:t xml:space="preserve">Provide economical medical services and then, only when medically </w:t>
      </w:r>
      <w:r w:rsidRPr="00110361">
        <w:t xml:space="preserve">necessary </w:t>
      </w:r>
      <w:r w:rsidR="00110361" w:rsidRPr="00110361">
        <w:br/>
      </w:r>
      <w:r w:rsidR="00110361" w:rsidRPr="00F3549A">
        <w:rPr>
          <w:rStyle w:val="webitalics"/>
        </w:rPr>
        <w:t>[42 U.S.C. § 1320c-5(a</w:t>
      </w:r>
      <w:proofErr w:type="gramStart"/>
      <w:r w:rsidR="00110361" w:rsidRPr="00F3549A">
        <w:rPr>
          <w:rStyle w:val="webitalics"/>
        </w:rPr>
        <w:t>)(</w:t>
      </w:r>
      <w:proofErr w:type="gramEnd"/>
      <w:r w:rsidR="00110361" w:rsidRPr="00F3549A">
        <w:rPr>
          <w:rStyle w:val="webitalics"/>
        </w:rPr>
        <w:t>1)];</w:t>
      </w:r>
    </w:p>
    <w:p w14:paraId="1D0EEF1E" w14:textId="77777777" w:rsidR="00110361" w:rsidRPr="00110361" w:rsidRDefault="00633C4D" w:rsidP="00633C4D">
      <w:pPr>
        <w:pStyle w:val="webnumbered1"/>
        <w:numPr>
          <w:ilvl w:val="0"/>
          <w:numId w:val="0"/>
        </w:numPr>
        <w:ind w:left="360"/>
      </w:pPr>
      <w:r>
        <w:t xml:space="preserve">4. </w:t>
      </w:r>
      <w:r w:rsidR="00110361" w:rsidRPr="00110361">
        <w:t xml:space="preserve">Provide evidence that the service given is medically </w:t>
      </w:r>
      <w:r w:rsidRPr="00110361">
        <w:t xml:space="preserve">necessary </w:t>
      </w:r>
      <w:r w:rsidR="00110361" w:rsidRPr="00110361">
        <w:br/>
      </w:r>
      <w:r w:rsidR="00110361" w:rsidRPr="00F3549A">
        <w:rPr>
          <w:rStyle w:val="webitalics"/>
        </w:rPr>
        <w:t>[42 U.S.C. § 1320c-5(a</w:t>
      </w:r>
      <w:proofErr w:type="gramStart"/>
      <w:r w:rsidR="00110361" w:rsidRPr="00F3549A">
        <w:rPr>
          <w:rStyle w:val="webitalics"/>
        </w:rPr>
        <w:t>)(</w:t>
      </w:r>
      <w:proofErr w:type="gramEnd"/>
      <w:r w:rsidR="00110361" w:rsidRPr="00F3549A">
        <w:rPr>
          <w:rStyle w:val="webitalics"/>
        </w:rPr>
        <w:t>3)];</w:t>
      </w:r>
    </w:p>
    <w:p w14:paraId="1D0EEF1F" w14:textId="77777777" w:rsidR="00110361" w:rsidRPr="00110361" w:rsidRDefault="00633C4D" w:rsidP="00633C4D">
      <w:pPr>
        <w:pStyle w:val="webnumbered1"/>
        <w:numPr>
          <w:ilvl w:val="0"/>
          <w:numId w:val="0"/>
        </w:numPr>
        <w:ind w:left="360"/>
      </w:pPr>
      <w:r>
        <w:t xml:space="preserve">5. </w:t>
      </w:r>
      <w:r w:rsidR="00110361" w:rsidRPr="00110361">
        <w:t xml:space="preserve">Assure that such services are not substantially in excess of the needs of such </w:t>
      </w:r>
      <w:r w:rsidRPr="00110361">
        <w:t xml:space="preserve">patients </w:t>
      </w:r>
      <w:r w:rsidR="00110361" w:rsidRPr="00110361">
        <w:br/>
      </w:r>
      <w:r w:rsidR="00110361" w:rsidRPr="00F3549A">
        <w:rPr>
          <w:rStyle w:val="webitalics"/>
        </w:rPr>
        <w:t>[42 U.S.C. § 1320a-7(b</w:t>
      </w:r>
      <w:proofErr w:type="gramStart"/>
      <w:r w:rsidR="00110361" w:rsidRPr="00F3549A">
        <w:rPr>
          <w:rStyle w:val="webitalics"/>
        </w:rPr>
        <w:t>)(</w:t>
      </w:r>
      <w:proofErr w:type="gramEnd"/>
      <w:r w:rsidR="00110361" w:rsidRPr="00F3549A">
        <w:rPr>
          <w:rStyle w:val="webitalics"/>
        </w:rPr>
        <w:t>6)(8)];</w:t>
      </w:r>
    </w:p>
    <w:p w14:paraId="1D0EEF20" w14:textId="77777777" w:rsidR="00110361" w:rsidRPr="00110361" w:rsidRDefault="00633C4D" w:rsidP="00633C4D">
      <w:pPr>
        <w:pStyle w:val="webnumbered1"/>
        <w:numPr>
          <w:ilvl w:val="0"/>
          <w:numId w:val="0"/>
        </w:numPr>
        <w:ind w:left="360"/>
      </w:pPr>
      <w:r>
        <w:t xml:space="preserve">6. </w:t>
      </w:r>
      <w:r w:rsidR="00110361" w:rsidRPr="00110361">
        <w:t xml:space="preserve">Certify when presenting a claim that the service provided is medically </w:t>
      </w:r>
      <w:r w:rsidRPr="00110361">
        <w:t xml:space="preserve">necessary </w:t>
      </w:r>
      <w:r w:rsidR="00110361" w:rsidRPr="00110361">
        <w:br/>
      </w:r>
      <w:r w:rsidR="00110361" w:rsidRPr="00F3549A">
        <w:rPr>
          <w:rStyle w:val="webitalics"/>
        </w:rPr>
        <w:t xml:space="preserve">[42 U.S.C. § </w:t>
      </w:r>
      <w:proofErr w:type="gramStart"/>
      <w:r w:rsidR="00110361" w:rsidRPr="00F3549A">
        <w:rPr>
          <w:rStyle w:val="webitalics"/>
        </w:rPr>
        <w:t>1395n(</w:t>
      </w:r>
      <w:proofErr w:type="gramEnd"/>
      <w:r w:rsidR="00110361" w:rsidRPr="00F3549A">
        <w:rPr>
          <w:rStyle w:val="webitalics"/>
        </w:rPr>
        <w:t>a)(2)(8)]</w:t>
      </w:r>
      <w:r w:rsidR="00110361" w:rsidRPr="00110361">
        <w:t>; and</w:t>
      </w:r>
    </w:p>
    <w:p w14:paraId="1D0EEF21" w14:textId="77777777" w:rsidR="00110361" w:rsidRPr="00F3549A" w:rsidRDefault="00633C4D" w:rsidP="00633C4D">
      <w:pPr>
        <w:pStyle w:val="webnumbered1"/>
        <w:numPr>
          <w:ilvl w:val="0"/>
          <w:numId w:val="0"/>
        </w:numPr>
        <w:ind w:left="360"/>
        <w:rPr>
          <w:rStyle w:val="webitalics"/>
        </w:rPr>
      </w:pPr>
      <w:r>
        <w:t xml:space="preserve">7. </w:t>
      </w:r>
      <w:r w:rsidR="00110361" w:rsidRPr="00110361">
        <w:t xml:space="preserve">Not submit or cause to be submitted to the Medicare Program bills or requests for payment substantially in excess of the physician’s usual charges for the same treatment or services </w:t>
      </w:r>
      <w:r w:rsidR="00110361" w:rsidRPr="00F3549A">
        <w:rPr>
          <w:rStyle w:val="webitalics"/>
        </w:rPr>
        <w:t>[42 U.S.C. § 1320a-7(b)(6)(A); 42 CFR § 1001.101(a) (2).</w:t>
      </w:r>
    </w:p>
    <w:p w14:paraId="1D0EEF22" w14:textId="77777777" w:rsidR="008123FC" w:rsidRPr="00F3549A" w:rsidRDefault="008123FC" w:rsidP="00110361">
      <w:pPr>
        <w:pStyle w:val="webnormal"/>
        <w:rPr>
          <w:rStyle w:val="webitalics"/>
        </w:rPr>
      </w:pPr>
    </w:p>
    <w:sectPr w:rsidR="008123FC" w:rsidRPr="00F3549A"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84315C"/>
    <w:lvl w:ilvl="0">
      <w:start w:val="1"/>
      <w:numFmt w:val="decimal"/>
      <w:lvlText w:val="%1."/>
      <w:lvlJc w:val="left"/>
      <w:pPr>
        <w:tabs>
          <w:tab w:val="num" w:pos="1800"/>
        </w:tabs>
        <w:ind w:left="1800" w:hanging="360"/>
      </w:pPr>
    </w:lvl>
  </w:abstractNum>
  <w:abstractNum w:abstractNumId="1">
    <w:nsid w:val="FFFFFF7D"/>
    <w:multiLevelType w:val="singleLevel"/>
    <w:tmpl w:val="386E39DA"/>
    <w:lvl w:ilvl="0">
      <w:start w:val="1"/>
      <w:numFmt w:val="decimal"/>
      <w:lvlText w:val="%1."/>
      <w:lvlJc w:val="left"/>
      <w:pPr>
        <w:tabs>
          <w:tab w:val="num" w:pos="1440"/>
        </w:tabs>
        <w:ind w:left="1440" w:hanging="360"/>
      </w:pPr>
    </w:lvl>
  </w:abstractNum>
  <w:abstractNum w:abstractNumId="2">
    <w:nsid w:val="FFFFFF7E"/>
    <w:multiLevelType w:val="singleLevel"/>
    <w:tmpl w:val="499A1A24"/>
    <w:lvl w:ilvl="0">
      <w:start w:val="1"/>
      <w:numFmt w:val="decimal"/>
      <w:lvlText w:val="%1."/>
      <w:lvlJc w:val="left"/>
      <w:pPr>
        <w:tabs>
          <w:tab w:val="num" w:pos="1080"/>
        </w:tabs>
        <w:ind w:left="1080" w:hanging="360"/>
      </w:pPr>
    </w:lvl>
  </w:abstractNum>
  <w:abstractNum w:abstractNumId="3">
    <w:nsid w:val="FFFFFF7F"/>
    <w:multiLevelType w:val="singleLevel"/>
    <w:tmpl w:val="83EC7DAA"/>
    <w:lvl w:ilvl="0">
      <w:start w:val="1"/>
      <w:numFmt w:val="decimal"/>
      <w:lvlText w:val="%1."/>
      <w:lvlJc w:val="left"/>
      <w:pPr>
        <w:tabs>
          <w:tab w:val="num" w:pos="720"/>
        </w:tabs>
        <w:ind w:left="720" w:hanging="360"/>
      </w:pPr>
    </w:lvl>
  </w:abstractNum>
  <w:abstractNum w:abstractNumId="4">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02045C"/>
    <w:lvl w:ilvl="0">
      <w:start w:val="1"/>
      <w:numFmt w:val="decimal"/>
      <w:lvlText w:val="%1."/>
      <w:lvlJc w:val="left"/>
      <w:pPr>
        <w:tabs>
          <w:tab w:val="num" w:pos="360"/>
        </w:tabs>
        <w:ind w:left="360" w:hanging="360"/>
      </w:pPr>
    </w:lvl>
  </w:abstractNum>
  <w:abstractNum w:abstractNumId="9">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6F296A"/>
    <w:multiLevelType w:val="multilevel"/>
    <w:tmpl w:val="2706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784BD0"/>
    <w:multiLevelType w:val="multilevel"/>
    <w:tmpl w:val="73E48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0"/>
  </w:num>
  <w:num w:numId="4">
    <w:abstractNumId w:val="18"/>
  </w:num>
  <w:num w:numId="5">
    <w:abstractNumId w:val="12"/>
  </w:num>
  <w:num w:numId="6">
    <w:abstractNumId w:val="16"/>
  </w:num>
  <w:num w:numId="7">
    <w:abstractNumId w:val="12"/>
  </w:num>
  <w:num w:numId="8">
    <w:abstractNumId w:val="1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13"/>
  </w:num>
  <w:num w:numId="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E3"/>
    <w:rsid w:val="00034C5E"/>
    <w:rsid w:val="000A1487"/>
    <w:rsid w:val="000C1D4A"/>
    <w:rsid w:val="00110361"/>
    <w:rsid w:val="00130DF9"/>
    <w:rsid w:val="00145DCD"/>
    <w:rsid w:val="00157BBA"/>
    <w:rsid w:val="001A0AB9"/>
    <w:rsid w:val="001C4E73"/>
    <w:rsid w:val="00202A27"/>
    <w:rsid w:val="002032C7"/>
    <w:rsid w:val="0024198F"/>
    <w:rsid w:val="0024792C"/>
    <w:rsid w:val="00272E35"/>
    <w:rsid w:val="00284A71"/>
    <w:rsid w:val="002B3F93"/>
    <w:rsid w:val="002E2AD5"/>
    <w:rsid w:val="0035093A"/>
    <w:rsid w:val="00363F39"/>
    <w:rsid w:val="00391469"/>
    <w:rsid w:val="003B74D6"/>
    <w:rsid w:val="003D053C"/>
    <w:rsid w:val="004162AE"/>
    <w:rsid w:val="004714B0"/>
    <w:rsid w:val="0049375B"/>
    <w:rsid w:val="004F232B"/>
    <w:rsid w:val="0060720E"/>
    <w:rsid w:val="006110B8"/>
    <w:rsid w:val="0061322A"/>
    <w:rsid w:val="00632C35"/>
    <w:rsid w:val="00633C4D"/>
    <w:rsid w:val="006910E7"/>
    <w:rsid w:val="00691F2B"/>
    <w:rsid w:val="0069304F"/>
    <w:rsid w:val="006E3869"/>
    <w:rsid w:val="00707CD6"/>
    <w:rsid w:val="00710A63"/>
    <w:rsid w:val="0073729C"/>
    <w:rsid w:val="007648EF"/>
    <w:rsid w:val="007925FC"/>
    <w:rsid w:val="00793B22"/>
    <w:rsid w:val="007A14EC"/>
    <w:rsid w:val="007B479D"/>
    <w:rsid w:val="007D24BF"/>
    <w:rsid w:val="007E1A5B"/>
    <w:rsid w:val="00803F9D"/>
    <w:rsid w:val="00806278"/>
    <w:rsid w:val="008123FC"/>
    <w:rsid w:val="008351BD"/>
    <w:rsid w:val="00861C2B"/>
    <w:rsid w:val="0088323E"/>
    <w:rsid w:val="008A0E01"/>
    <w:rsid w:val="008F343B"/>
    <w:rsid w:val="009312AD"/>
    <w:rsid w:val="009811F7"/>
    <w:rsid w:val="00986FB4"/>
    <w:rsid w:val="009873C5"/>
    <w:rsid w:val="009B33E3"/>
    <w:rsid w:val="009D03E3"/>
    <w:rsid w:val="00A0553B"/>
    <w:rsid w:val="00A0618C"/>
    <w:rsid w:val="00A228DC"/>
    <w:rsid w:val="00AB05FC"/>
    <w:rsid w:val="00AB6F5F"/>
    <w:rsid w:val="00AE61B7"/>
    <w:rsid w:val="00B11015"/>
    <w:rsid w:val="00B2022B"/>
    <w:rsid w:val="00B2746C"/>
    <w:rsid w:val="00B8585D"/>
    <w:rsid w:val="00BE35C1"/>
    <w:rsid w:val="00C16A79"/>
    <w:rsid w:val="00C261AE"/>
    <w:rsid w:val="00C719C3"/>
    <w:rsid w:val="00D05EB8"/>
    <w:rsid w:val="00D11DDE"/>
    <w:rsid w:val="00D5220E"/>
    <w:rsid w:val="00D637FA"/>
    <w:rsid w:val="00DA0A9D"/>
    <w:rsid w:val="00DB7515"/>
    <w:rsid w:val="00DE7BD1"/>
    <w:rsid w:val="00E5541B"/>
    <w:rsid w:val="00E60C0C"/>
    <w:rsid w:val="00E635D6"/>
    <w:rsid w:val="00EA68CB"/>
    <w:rsid w:val="00F01898"/>
    <w:rsid w:val="00F23054"/>
    <w:rsid w:val="00F3549A"/>
    <w:rsid w:val="00F70638"/>
    <w:rsid w:val="00FC3EBB"/>
    <w:rsid w:val="00FC4B87"/>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E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110361"/>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1Char">
    <w:name w:val="Heading 1 Char"/>
    <w:basedOn w:val="DefaultParagraphFont"/>
    <w:link w:val="Heading1"/>
    <w:uiPriority w:val="9"/>
    <w:rsid w:val="00110361"/>
    <w:rPr>
      <w:rFonts w:asciiTheme="majorHAnsi" w:eastAsiaTheme="majorEastAsia" w:hAnsiTheme="majorHAnsi" w:cstheme="majorBidi"/>
      <w:b/>
      <w:bCs/>
      <w:color w:val="365F91" w:themeColor="accent1" w:themeShade="BF"/>
    </w:rPr>
  </w:style>
  <w:style w:type="paragraph" w:styleId="NormalWeb">
    <w:name w:val="Normal (Web)"/>
    <w:basedOn w:val="Normal"/>
    <w:uiPriority w:val="99"/>
    <w:semiHidden/>
    <w:unhideWhenUsed/>
    <w:locked/>
    <w:rsid w:val="00110361"/>
    <w:rPr>
      <w:rFonts w:ascii="Times New Roman" w:hAnsi="Times New Roman"/>
      <w:sz w:val="24"/>
      <w:szCs w:val="24"/>
    </w:rPr>
  </w:style>
  <w:style w:type="character" w:styleId="Strong">
    <w:name w:val="Strong"/>
    <w:basedOn w:val="DefaultParagraphFont"/>
    <w:uiPriority w:val="22"/>
    <w:qFormat/>
    <w:locked/>
    <w:rsid w:val="00110361"/>
    <w:rPr>
      <w:b/>
      <w:bCs/>
    </w:rPr>
  </w:style>
  <w:style w:type="character" w:styleId="CommentReference">
    <w:name w:val="annotation reference"/>
    <w:basedOn w:val="DefaultParagraphFont"/>
    <w:uiPriority w:val="99"/>
    <w:semiHidden/>
    <w:unhideWhenUsed/>
    <w:locked/>
    <w:rsid w:val="0061322A"/>
    <w:rPr>
      <w:sz w:val="16"/>
      <w:szCs w:val="16"/>
    </w:rPr>
  </w:style>
  <w:style w:type="paragraph" w:styleId="CommentText">
    <w:name w:val="annotation text"/>
    <w:basedOn w:val="Normal"/>
    <w:link w:val="CommentTextChar"/>
    <w:uiPriority w:val="99"/>
    <w:semiHidden/>
    <w:unhideWhenUsed/>
    <w:locked/>
    <w:rsid w:val="0061322A"/>
    <w:rPr>
      <w:sz w:val="20"/>
      <w:szCs w:val="20"/>
    </w:rPr>
  </w:style>
  <w:style w:type="character" w:customStyle="1" w:styleId="CommentTextChar">
    <w:name w:val="Comment Text Char"/>
    <w:basedOn w:val="DefaultParagraphFont"/>
    <w:link w:val="CommentText"/>
    <w:uiPriority w:val="99"/>
    <w:semiHidden/>
    <w:rsid w:val="0061322A"/>
    <w:rPr>
      <w:sz w:val="20"/>
      <w:szCs w:val="20"/>
    </w:rPr>
  </w:style>
  <w:style w:type="paragraph" w:styleId="CommentSubject">
    <w:name w:val="annotation subject"/>
    <w:basedOn w:val="CommentText"/>
    <w:next w:val="CommentText"/>
    <w:link w:val="CommentSubjectChar"/>
    <w:uiPriority w:val="99"/>
    <w:semiHidden/>
    <w:unhideWhenUsed/>
    <w:locked/>
    <w:rsid w:val="0061322A"/>
    <w:rPr>
      <w:b/>
      <w:bCs/>
    </w:rPr>
  </w:style>
  <w:style w:type="character" w:customStyle="1" w:styleId="CommentSubjectChar">
    <w:name w:val="Comment Subject Char"/>
    <w:basedOn w:val="CommentTextChar"/>
    <w:link w:val="CommentSubject"/>
    <w:uiPriority w:val="99"/>
    <w:semiHidden/>
    <w:rsid w:val="006132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110361"/>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1Char">
    <w:name w:val="Heading 1 Char"/>
    <w:basedOn w:val="DefaultParagraphFont"/>
    <w:link w:val="Heading1"/>
    <w:uiPriority w:val="9"/>
    <w:rsid w:val="00110361"/>
    <w:rPr>
      <w:rFonts w:asciiTheme="majorHAnsi" w:eastAsiaTheme="majorEastAsia" w:hAnsiTheme="majorHAnsi" w:cstheme="majorBidi"/>
      <w:b/>
      <w:bCs/>
      <w:color w:val="365F91" w:themeColor="accent1" w:themeShade="BF"/>
    </w:rPr>
  </w:style>
  <w:style w:type="paragraph" w:styleId="NormalWeb">
    <w:name w:val="Normal (Web)"/>
    <w:basedOn w:val="Normal"/>
    <w:uiPriority w:val="99"/>
    <w:semiHidden/>
    <w:unhideWhenUsed/>
    <w:locked/>
    <w:rsid w:val="00110361"/>
    <w:rPr>
      <w:rFonts w:ascii="Times New Roman" w:hAnsi="Times New Roman"/>
      <w:sz w:val="24"/>
      <w:szCs w:val="24"/>
    </w:rPr>
  </w:style>
  <w:style w:type="character" w:styleId="Strong">
    <w:name w:val="Strong"/>
    <w:basedOn w:val="DefaultParagraphFont"/>
    <w:uiPriority w:val="22"/>
    <w:qFormat/>
    <w:locked/>
    <w:rsid w:val="00110361"/>
    <w:rPr>
      <w:b/>
      <w:bCs/>
    </w:rPr>
  </w:style>
  <w:style w:type="character" w:styleId="CommentReference">
    <w:name w:val="annotation reference"/>
    <w:basedOn w:val="DefaultParagraphFont"/>
    <w:uiPriority w:val="99"/>
    <w:semiHidden/>
    <w:unhideWhenUsed/>
    <w:locked/>
    <w:rsid w:val="0061322A"/>
    <w:rPr>
      <w:sz w:val="16"/>
      <w:szCs w:val="16"/>
    </w:rPr>
  </w:style>
  <w:style w:type="paragraph" w:styleId="CommentText">
    <w:name w:val="annotation text"/>
    <w:basedOn w:val="Normal"/>
    <w:link w:val="CommentTextChar"/>
    <w:uiPriority w:val="99"/>
    <w:semiHidden/>
    <w:unhideWhenUsed/>
    <w:locked/>
    <w:rsid w:val="0061322A"/>
    <w:rPr>
      <w:sz w:val="20"/>
      <w:szCs w:val="20"/>
    </w:rPr>
  </w:style>
  <w:style w:type="character" w:customStyle="1" w:styleId="CommentTextChar">
    <w:name w:val="Comment Text Char"/>
    <w:basedOn w:val="DefaultParagraphFont"/>
    <w:link w:val="CommentText"/>
    <w:uiPriority w:val="99"/>
    <w:semiHidden/>
    <w:rsid w:val="0061322A"/>
    <w:rPr>
      <w:sz w:val="20"/>
      <w:szCs w:val="20"/>
    </w:rPr>
  </w:style>
  <w:style w:type="paragraph" w:styleId="CommentSubject">
    <w:name w:val="annotation subject"/>
    <w:basedOn w:val="CommentText"/>
    <w:next w:val="CommentText"/>
    <w:link w:val="CommentSubjectChar"/>
    <w:uiPriority w:val="99"/>
    <w:semiHidden/>
    <w:unhideWhenUsed/>
    <w:locked/>
    <w:rsid w:val="0061322A"/>
    <w:rPr>
      <w:b/>
      <w:bCs/>
    </w:rPr>
  </w:style>
  <w:style w:type="character" w:customStyle="1" w:styleId="CommentSubjectChar">
    <w:name w:val="Comment Subject Char"/>
    <w:basedOn w:val="CommentTextChar"/>
    <w:link w:val="CommentSubject"/>
    <w:uiPriority w:val="99"/>
    <w:semiHidden/>
    <w:rsid w:val="00613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1630473644">
      <w:bodyDiv w:val="1"/>
      <w:marLeft w:val="0"/>
      <w:marRight w:val="0"/>
      <w:marTop w:val="0"/>
      <w:marBottom w:val="0"/>
      <w:divBdr>
        <w:top w:val="none" w:sz="0" w:space="0" w:color="auto"/>
        <w:left w:val="none" w:sz="0" w:space="0" w:color="auto"/>
        <w:bottom w:val="none" w:sz="0" w:space="0" w:color="auto"/>
        <w:right w:val="none" w:sz="0" w:space="0" w:color="auto"/>
      </w:divBdr>
      <w:divsChild>
        <w:div w:id="1894580293">
          <w:marLeft w:val="0"/>
          <w:marRight w:val="0"/>
          <w:marTop w:val="0"/>
          <w:marBottom w:val="0"/>
          <w:divBdr>
            <w:top w:val="none" w:sz="0" w:space="0" w:color="auto"/>
            <w:left w:val="none" w:sz="0" w:space="0" w:color="auto"/>
            <w:bottom w:val="none" w:sz="0" w:space="0" w:color="auto"/>
            <w:right w:val="none" w:sz="0" w:space="0" w:color="auto"/>
          </w:divBdr>
          <w:divsChild>
            <w:div w:id="401099397">
              <w:marLeft w:val="0"/>
              <w:marRight w:val="0"/>
              <w:marTop w:val="0"/>
              <w:marBottom w:val="0"/>
              <w:divBdr>
                <w:top w:val="none" w:sz="0" w:space="0" w:color="auto"/>
                <w:left w:val="none" w:sz="0" w:space="0" w:color="auto"/>
                <w:bottom w:val="none" w:sz="0" w:space="0" w:color="auto"/>
                <w:right w:val="none" w:sz="0" w:space="0" w:color="auto"/>
              </w:divBdr>
            </w:div>
            <w:div w:id="725370442">
              <w:marLeft w:val="0"/>
              <w:marRight w:val="0"/>
              <w:marTop w:val="0"/>
              <w:marBottom w:val="0"/>
              <w:divBdr>
                <w:top w:val="none" w:sz="0" w:space="0" w:color="auto"/>
                <w:left w:val="none" w:sz="0" w:space="0" w:color="auto"/>
                <w:bottom w:val="none" w:sz="0" w:space="0" w:color="auto"/>
                <w:right w:val="none" w:sz="0" w:space="0" w:color="auto"/>
              </w:divBdr>
              <w:divsChild>
                <w:div w:id="2029940103">
                  <w:marLeft w:val="0"/>
                  <w:marRight w:val="0"/>
                  <w:marTop w:val="0"/>
                  <w:marBottom w:val="0"/>
                  <w:divBdr>
                    <w:top w:val="none" w:sz="0" w:space="0" w:color="auto"/>
                    <w:left w:val="none" w:sz="0" w:space="0" w:color="auto"/>
                    <w:bottom w:val="none" w:sz="0" w:space="0" w:color="auto"/>
                    <w:right w:val="none" w:sz="0" w:space="0" w:color="auto"/>
                  </w:divBdr>
                </w:div>
                <w:div w:id="1987658102">
                  <w:marLeft w:val="0"/>
                  <w:marRight w:val="0"/>
                  <w:marTop w:val="0"/>
                  <w:marBottom w:val="0"/>
                  <w:divBdr>
                    <w:top w:val="none" w:sz="0" w:space="0" w:color="auto"/>
                    <w:left w:val="none" w:sz="0" w:space="0" w:color="auto"/>
                    <w:bottom w:val="none" w:sz="0" w:space="0" w:color="auto"/>
                    <w:right w:val="none" w:sz="0" w:space="0" w:color="auto"/>
                  </w:divBdr>
                </w:div>
                <w:div w:id="1712455722">
                  <w:marLeft w:val="0"/>
                  <w:marRight w:val="0"/>
                  <w:marTop w:val="0"/>
                  <w:marBottom w:val="0"/>
                  <w:divBdr>
                    <w:top w:val="none" w:sz="0" w:space="0" w:color="auto"/>
                    <w:left w:val="none" w:sz="0" w:space="0" w:color="auto"/>
                    <w:bottom w:val="none" w:sz="0" w:space="0" w:color="auto"/>
                    <w:right w:val="none" w:sz="0" w:space="0" w:color="auto"/>
                  </w:divBdr>
                </w:div>
                <w:div w:id="1078286017">
                  <w:marLeft w:val="0"/>
                  <w:marRight w:val="0"/>
                  <w:marTop w:val="0"/>
                  <w:marBottom w:val="0"/>
                  <w:divBdr>
                    <w:top w:val="none" w:sz="0" w:space="0" w:color="auto"/>
                    <w:left w:val="none" w:sz="0" w:space="0" w:color="auto"/>
                    <w:bottom w:val="none" w:sz="0" w:space="0" w:color="auto"/>
                    <w:right w:val="none" w:sz="0" w:space="0" w:color="auto"/>
                  </w:divBdr>
                </w:div>
                <w:div w:id="1132603172">
                  <w:marLeft w:val="0"/>
                  <w:marRight w:val="0"/>
                  <w:marTop w:val="0"/>
                  <w:marBottom w:val="0"/>
                  <w:divBdr>
                    <w:top w:val="none" w:sz="0" w:space="0" w:color="auto"/>
                    <w:left w:val="none" w:sz="0" w:space="0" w:color="auto"/>
                    <w:bottom w:val="none" w:sz="0" w:space="0" w:color="auto"/>
                    <w:right w:val="none" w:sz="0" w:space="0" w:color="auto"/>
                  </w:divBdr>
                </w:div>
                <w:div w:id="615210234">
                  <w:marLeft w:val="0"/>
                  <w:marRight w:val="0"/>
                  <w:marTop w:val="0"/>
                  <w:marBottom w:val="0"/>
                  <w:divBdr>
                    <w:top w:val="none" w:sz="0" w:space="0" w:color="auto"/>
                    <w:left w:val="none" w:sz="0" w:space="0" w:color="auto"/>
                    <w:bottom w:val="none" w:sz="0" w:space="0" w:color="auto"/>
                    <w:right w:val="none" w:sz="0" w:space="0" w:color="auto"/>
                  </w:divBdr>
                </w:div>
                <w:div w:id="310521680">
                  <w:marLeft w:val="0"/>
                  <w:marRight w:val="0"/>
                  <w:marTop w:val="0"/>
                  <w:marBottom w:val="0"/>
                  <w:divBdr>
                    <w:top w:val="none" w:sz="0" w:space="0" w:color="auto"/>
                    <w:left w:val="none" w:sz="0" w:space="0" w:color="auto"/>
                    <w:bottom w:val="none" w:sz="0" w:space="0" w:color="auto"/>
                    <w:right w:val="none" w:sz="0" w:space="0" w:color="auto"/>
                  </w:divBdr>
                </w:div>
              </w:divsChild>
            </w:div>
            <w:div w:id="1099064305">
              <w:marLeft w:val="0"/>
              <w:marRight w:val="0"/>
              <w:marTop w:val="0"/>
              <w:marBottom w:val="0"/>
              <w:divBdr>
                <w:top w:val="none" w:sz="0" w:space="0" w:color="auto"/>
                <w:left w:val="none" w:sz="0" w:space="0" w:color="auto"/>
                <w:bottom w:val="none" w:sz="0" w:space="0" w:color="auto"/>
                <w:right w:val="none" w:sz="0" w:space="0" w:color="auto"/>
              </w:divBdr>
              <w:divsChild>
                <w:div w:id="347373147">
                  <w:marLeft w:val="0"/>
                  <w:marRight w:val="0"/>
                  <w:marTop w:val="0"/>
                  <w:marBottom w:val="0"/>
                  <w:divBdr>
                    <w:top w:val="none" w:sz="0" w:space="0" w:color="auto"/>
                    <w:left w:val="none" w:sz="0" w:space="0" w:color="auto"/>
                    <w:bottom w:val="none" w:sz="0" w:space="0" w:color="auto"/>
                    <w:right w:val="none" w:sz="0" w:space="0" w:color="auto"/>
                  </w:divBdr>
                </w:div>
                <w:div w:id="161357784">
                  <w:marLeft w:val="0"/>
                  <w:marRight w:val="0"/>
                  <w:marTop w:val="0"/>
                  <w:marBottom w:val="0"/>
                  <w:divBdr>
                    <w:top w:val="none" w:sz="0" w:space="0" w:color="auto"/>
                    <w:left w:val="none" w:sz="0" w:space="0" w:color="auto"/>
                    <w:bottom w:val="none" w:sz="0" w:space="0" w:color="auto"/>
                    <w:right w:val="none" w:sz="0" w:space="0" w:color="auto"/>
                  </w:divBdr>
                </w:div>
                <w:div w:id="939458724">
                  <w:marLeft w:val="0"/>
                  <w:marRight w:val="0"/>
                  <w:marTop w:val="0"/>
                  <w:marBottom w:val="0"/>
                  <w:divBdr>
                    <w:top w:val="none" w:sz="0" w:space="0" w:color="auto"/>
                    <w:left w:val="none" w:sz="0" w:space="0" w:color="auto"/>
                    <w:bottom w:val="none" w:sz="0" w:space="0" w:color="auto"/>
                    <w:right w:val="none" w:sz="0" w:space="0" w:color="auto"/>
                  </w:divBdr>
                </w:div>
                <w:div w:id="687683652">
                  <w:marLeft w:val="0"/>
                  <w:marRight w:val="0"/>
                  <w:marTop w:val="0"/>
                  <w:marBottom w:val="0"/>
                  <w:divBdr>
                    <w:top w:val="none" w:sz="0" w:space="0" w:color="auto"/>
                    <w:left w:val="none" w:sz="0" w:space="0" w:color="auto"/>
                    <w:bottom w:val="none" w:sz="0" w:space="0" w:color="auto"/>
                    <w:right w:val="none" w:sz="0" w:space="0" w:color="auto"/>
                  </w:divBdr>
                </w:div>
                <w:div w:id="359669339">
                  <w:marLeft w:val="0"/>
                  <w:marRight w:val="0"/>
                  <w:marTop w:val="0"/>
                  <w:marBottom w:val="0"/>
                  <w:divBdr>
                    <w:top w:val="none" w:sz="0" w:space="0" w:color="auto"/>
                    <w:left w:val="none" w:sz="0" w:space="0" w:color="auto"/>
                    <w:bottom w:val="none" w:sz="0" w:space="0" w:color="auto"/>
                    <w:right w:val="none" w:sz="0" w:space="0" w:color="auto"/>
                  </w:divBdr>
                </w:div>
                <w:div w:id="554661402">
                  <w:marLeft w:val="0"/>
                  <w:marRight w:val="0"/>
                  <w:marTop w:val="0"/>
                  <w:marBottom w:val="0"/>
                  <w:divBdr>
                    <w:top w:val="none" w:sz="0" w:space="0" w:color="auto"/>
                    <w:left w:val="none" w:sz="0" w:space="0" w:color="auto"/>
                    <w:bottom w:val="none" w:sz="0" w:space="0" w:color="auto"/>
                    <w:right w:val="none" w:sz="0" w:space="0" w:color="auto"/>
                  </w:divBdr>
                </w:div>
                <w:div w:id="1899628306">
                  <w:marLeft w:val="0"/>
                  <w:marRight w:val="0"/>
                  <w:marTop w:val="0"/>
                  <w:marBottom w:val="0"/>
                  <w:divBdr>
                    <w:top w:val="none" w:sz="0" w:space="0" w:color="auto"/>
                    <w:left w:val="none" w:sz="0" w:space="0" w:color="auto"/>
                    <w:bottom w:val="none" w:sz="0" w:space="0" w:color="auto"/>
                    <w:right w:val="none" w:sz="0" w:space="0" w:color="auto"/>
                  </w:divBdr>
                </w:div>
              </w:divsChild>
            </w:div>
            <w:div w:id="10107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vitas-solutions.com/webcenter/portal/Appeals_JH"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ms.gov/Regulations-and-Guidance/Guidance/Manuals/Downloads/pim83c0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ddocname:00161300" TargetMode="External"/><Relationship Id="rId5" Type="http://schemas.openxmlformats.org/officeDocument/2006/relationships/numbering" Target="numbering.xml"/><Relationship Id="rId15" Type="http://schemas.openxmlformats.org/officeDocument/2006/relationships/hyperlink" Target="ddocname:00008243" TargetMode="External"/><Relationship Id="rId10" Type="http://schemas.openxmlformats.org/officeDocument/2006/relationships/hyperlink" Target="ddocname:000082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vitas-solutions.com/webcenter/portal/Appeals_J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58CD935FB8F48827BE837855314ED" ma:contentTypeVersion="0" ma:contentTypeDescription="Create a new document." ma:contentTypeScope="" ma:versionID="0a119358e4a977f60379897f4d20443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8EF8-EDB8-48CD-A64F-D609F0FEB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C5F226-1680-427A-A02A-41C098F04056}">
  <ds:schemaRefs>
    <ds:schemaRef ds:uri="http://schemas.microsoft.com/sharepoint/v3/contenttype/forms"/>
  </ds:schemaRefs>
</ds:datastoreItem>
</file>

<file path=customXml/itemProps3.xml><?xml version="1.0" encoding="utf-8"?>
<ds:datastoreItem xmlns:ds="http://schemas.openxmlformats.org/officeDocument/2006/customXml" ds:itemID="{27195A33-619A-45A1-9F0E-CCE7F7D9F6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BBC31F-EB46-4FE9-BE0F-31A43D12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Plevyak, Brad</dc:creator>
  <cp:lastModifiedBy>Mathis, Talena</cp:lastModifiedBy>
  <cp:revision>3</cp:revision>
  <cp:lastPrinted>2013-08-22T18:47:00Z</cp:lastPrinted>
  <dcterms:created xsi:type="dcterms:W3CDTF">2020-06-02T18:11:00Z</dcterms:created>
  <dcterms:modified xsi:type="dcterms:W3CDTF">2020-06-02T18:29:00Z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0x010100E3558CD935FB8F48827BE837855314ED</vt:lpwstr>
  </property>
</Properties>
</file>