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6A18" w14:textId="5B9CCF82" w:rsidR="00E41CC7" w:rsidRPr="00200CC4" w:rsidRDefault="00E41CC7" w:rsidP="002B3984">
      <w:pPr>
        <w:pStyle w:val="webheader"/>
      </w:pPr>
      <w:bookmarkStart w:id="0" w:name="mainContent"/>
      <w:r w:rsidRPr="002B3984">
        <w:t xml:space="preserve">Physician </w:t>
      </w:r>
      <w:r w:rsidR="00A2707D">
        <w:t>s</w:t>
      </w:r>
      <w:r w:rsidRPr="002B3984">
        <w:t xml:space="preserve">upervision of </w:t>
      </w:r>
      <w:r w:rsidR="00A2707D">
        <w:t>d</w:t>
      </w:r>
      <w:r w:rsidRPr="002B3984">
        <w:t xml:space="preserve">iagnostic </w:t>
      </w:r>
      <w:r w:rsidR="00A2707D">
        <w:t>t</w:t>
      </w:r>
      <w:r w:rsidRPr="002B3984">
        <w:t>ests</w:t>
      </w:r>
      <w:bookmarkEnd w:id="0"/>
      <w:r w:rsidRPr="00E41CC7">
        <w:t xml:space="preserve"> </w:t>
      </w:r>
      <w:r w:rsidRPr="00E41CC7">
        <w:rPr>
          <w:noProof/>
        </w:rPr>
        <mc:AlternateContent>
          <mc:Choice Requires="wps">
            <w:drawing>
              <wp:inline distT="0" distB="0" distL="0" distR="0" wp14:anchorId="368F2A4A" wp14:editId="2D563B27">
                <wp:extent cx="304800" cy="304800"/>
                <wp:effectExtent l="0" t="0" r="0" b="0"/>
                <wp:docPr id="1" name="Rectangle 1" descr="FA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B983C" id="Rectangle 1" o:spid="_x0000_s1026" alt="FA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B6F995" w14:textId="77777777" w:rsidR="00E41CC7" w:rsidRPr="00DD4764" w:rsidRDefault="00E41CC7" w:rsidP="00DD4764">
      <w:pPr>
        <w:pStyle w:val="webnormal"/>
      </w:pPr>
      <w:r w:rsidRPr="00DD4764">
        <w:t xml:space="preserve">Section 410.32(b) of the Code of Federal Regulations requires that, with certain exceptions, diagnostic tests covered under §1861(s)(3) of the Social Security Act and payable under the physician fee schedule </w:t>
      </w:r>
      <w:proofErr w:type="gramStart"/>
      <w:r w:rsidRPr="00DD4764">
        <w:t>have to</w:t>
      </w:r>
      <w:proofErr w:type="gramEnd"/>
      <w:r w:rsidRPr="00DD4764">
        <w:t xml:space="preserve"> be performed under the supervision of an individual meeting the definition of a “physician”.</w:t>
      </w:r>
    </w:p>
    <w:p w14:paraId="1C917AF5" w14:textId="77777777" w:rsidR="00DD4764" w:rsidRDefault="00DD4764" w:rsidP="00DD4764">
      <w:pPr>
        <w:pStyle w:val="webnormal"/>
      </w:pPr>
      <w:r>
        <w:t>A</w:t>
      </w:r>
      <w:r w:rsidRPr="00DD4764">
        <w:t xml:space="preserve">ll diagnostic tests payable under the physician fee schedule must be furnished under at least a general level of physician supervision </w:t>
      </w:r>
      <w:proofErr w:type="gramStart"/>
      <w:r>
        <w:t>w</w:t>
      </w:r>
      <w:r w:rsidR="00E41CC7" w:rsidRPr="00DD4764">
        <w:t>ith the exception of</w:t>
      </w:r>
      <w:proofErr w:type="gramEnd"/>
      <w:r w:rsidR="00E41CC7" w:rsidRPr="00DD4764">
        <w:t xml:space="preserve"> certain procedures personally performed by</w:t>
      </w:r>
      <w:r>
        <w:t xml:space="preserve"> the following:</w:t>
      </w:r>
    </w:p>
    <w:p w14:paraId="1426DAD4" w14:textId="77777777" w:rsidR="00DD4764" w:rsidRDefault="004400C4" w:rsidP="00DD4764">
      <w:pPr>
        <w:pStyle w:val="webbullet1"/>
      </w:pPr>
      <w:r>
        <w:t>I</w:t>
      </w:r>
      <w:r w:rsidR="00E41CC7" w:rsidRPr="00DD4764">
        <w:t>ndependent quali</w:t>
      </w:r>
      <w:r w:rsidR="00DD4764">
        <w:t>fied psychologists</w:t>
      </w:r>
    </w:p>
    <w:p w14:paraId="31A5B7FB" w14:textId="77777777" w:rsidR="00DD4764" w:rsidRDefault="004400C4" w:rsidP="00DD4764">
      <w:pPr>
        <w:pStyle w:val="webbullet1"/>
      </w:pPr>
      <w:r>
        <w:t>C</w:t>
      </w:r>
      <w:r w:rsidR="00DD4764">
        <w:t>linical psychologists</w:t>
      </w:r>
    </w:p>
    <w:p w14:paraId="3D8FDE2B" w14:textId="77777777" w:rsidR="00DD4764" w:rsidRDefault="004400C4" w:rsidP="00DD4764">
      <w:pPr>
        <w:pStyle w:val="webbullet1"/>
      </w:pPr>
      <w:r>
        <w:t>Q</w:t>
      </w:r>
      <w:r w:rsidR="00E41CC7" w:rsidRPr="00DD4764">
        <w:t xml:space="preserve">ualified audiologists </w:t>
      </w:r>
    </w:p>
    <w:p w14:paraId="534AE41F" w14:textId="77777777" w:rsidR="00DD4764" w:rsidRDefault="004400C4" w:rsidP="00DD4764">
      <w:pPr>
        <w:pStyle w:val="webbullet1"/>
      </w:pPr>
      <w:r>
        <w:t>P</w:t>
      </w:r>
      <w:r w:rsidR="00E41CC7" w:rsidRPr="00DD4764">
        <w:t>hysical therapists</w:t>
      </w:r>
    </w:p>
    <w:p w14:paraId="7B1E648E" w14:textId="4AE22623" w:rsidR="00DD4764" w:rsidRDefault="004400C4" w:rsidP="00DD4764">
      <w:pPr>
        <w:pStyle w:val="webbullet1"/>
      </w:pPr>
      <w:r>
        <w:t>Q</w:t>
      </w:r>
      <w:r w:rsidR="00E41CC7" w:rsidRPr="00DD4764">
        <w:t>ualified electrop</w:t>
      </w:r>
      <w:r w:rsidR="00DD4764">
        <w:t>hysiologic clinical specialists</w:t>
      </w:r>
      <w:r w:rsidR="00D57AFE">
        <w:t xml:space="preserve"> </w:t>
      </w:r>
      <w:r w:rsidR="00A06303">
        <w:t>(</w:t>
      </w:r>
      <w:r w:rsidR="00A06303" w:rsidRPr="00DD4764">
        <w:t>certified by the American Board of Physical Therapy Specialties</w:t>
      </w:r>
      <w:r w:rsidR="00A06303">
        <w:t>)</w:t>
      </w:r>
    </w:p>
    <w:p w14:paraId="58049FFC" w14:textId="77777777" w:rsidR="00E41CC7" w:rsidRPr="00DD4764" w:rsidRDefault="007E6600" w:rsidP="00DD4764">
      <w:pPr>
        <w:pStyle w:val="webnormal"/>
      </w:pPr>
      <w:r w:rsidRPr="007E6600">
        <w:rPr>
          <w:rStyle w:val="webbold"/>
        </w:rPr>
        <w:t>Note</w:t>
      </w:r>
      <w:r>
        <w:t xml:space="preserve">: </w:t>
      </w:r>
      <w:r w:rsidR="00E41CC7" w:rsidRPr="00DD4764">
        <w:t xml:space="preserve"> </w:t>
      </w:r>
      <w:r>
        <w:t>S</w:t>
      </w:r>
      <w:r w:rsidR="00E41CC7" w:rsidRPr="00DD4764">
        <w:t>ome tests also require either direct or personal supervision.</w:t>
      </w:r>
    </w:p>
    <w:p w14:paraId="447A5EE3" w14:textId="77777777" w:rsidR="00E41CC7" w:rsidRPr="00E41CC7" w:rsidRDefault="00E41CC7" w:rsidP="00E41CC7">
      <w:pPr>
        <w:pStyle w:val="webnormal"/>
      </w:pPr>
      <w:r w:rsidRPr="00E41CC7">
        <w:t>The regulation defines the levels of physician supervision for diagnostic tests as follows:</w:t>
      </w:r>
    </w:p>
    <w:p w14:paraId="25970A3A" w14:textId="53418664" w:rsidR="00E41CC7" w:rsidRPr="00E41CC7" w:rsidRDefault="00E41CC7" w:rsidP="003319EE">
      <w:pPr>
        <w:pStyle w:val="webbullet1"/>
      </w:pPr>
      <w:r w:rsidRPr="003319EE">
        <w:rPr>
          <w:rStyle w:val="webbold"/>
        </w:rPr>
        <w:t>General supervision</w:t>
      </w:r>
      <w:r w:rsidRPr="00E41CC7">
        <w:t xml:space="preserve"> </w:t>
      </w:r>
      <w:r w:rsidR="00DD4764">
        <w:t xml:space="preserve">- the </w:t>
      </w:r>
      <w:r w:rsidRPr="00E41CC7">
        <w:t xml:space="preserve">procedure is furnished under the physician’s overall direction and control, but the physician’s presence is not required during the performance of the procedure. Under general supervision, the training of the nonphysician personnel who </w:t>
      </w:r>
      <w:proofErr w:type="gramStart"/>
      <w:r w:rsidRPr="00E41CC7">
        <w:t>actually performs</w:t>
      </w:r>
      <w:proofErr w:type="gramEnd"/>
      <w:r w:rsidRPr="00E41CC7">
        <w:t xml:space="preserve"> the diagnostic </w:t>
      </w:r>
      <w:r w:rsidR="00A2707D" w:rsidRPr="00E41CC7">
        <w:t>procedure,</w:t>
      </w:r>
      <w:r w:rsidRPr="00E41CC7">
        <w:t xml:space="preserve"> and the maintenance of the necessary equipment and supplies are the continuing responsibility of the physician.</w:t>
      </w:r>
    </w:p>
    <w:p w14:paraId="2E700BCB" w14:textId="77777777" w:rsidR="00E41CC7" w:rsidRPr="00E41CC7" w:rsidRDefault="00E41CC7" w:rsidP="003319EE">
      <w:pPr>
        <w:pStyle w:val="webbullet1"/>
      </w:pPr>
      <w:r w:rsidRPr="003319EE">
        <w:rPr>
          <w:rStyle w:val="webbold"/>
        </w:rPr>
        <w:t>Direct supervision</w:t>
      </w:r>
      <w:r w:rsidRPr="00E41CC7">
        <w:t xml:space="preserve"> </w:t>
      </w:r>
      <w:r w:rsidRPr="00DD4764">
        <w:rPr>
          <w:rStyle w:val="webbold"/>
        </w:rPr>
        <w:t xml:space="preserve">in </w:t>
      </w:r>
      <w:r w:rsidR="00DD4764" w:rsidRPr="00DD4764">
        <w:rPr>
          <w:rStyle w:val="webbold"/>
        </w:rPr>
        <w:t>an</w:t>
      </w:r>
      <w:r w:rsidRPr="00DD4764">
        <w:rPr>
          <w:rStyle w:val="webbold"/>
        </w:rPr>
        <w:t xml:space="preserve"> office setting</w:t>
      </w:r>
      <w:r w:rsidRPr="00E41CC7">
        <w:t xml:space="preserve"> </w:t>
      </w:r>
      <w:r w:rsidR="00DD4764">
        <w:t xml:space="preserve">- </w:t>
      </w:r>
      <w:r w:rsidRPr="00E41CC7">
        <w:t>the physician must be present in the office suite and immediately available to furnish assistance and direction throughout the performance of the procedure. It does not mean that the physician must be present in the room when the procedure is performed.</w:t>
      </w:r>
    </w:p>
    <w:p w14:paraId="1B81317B" w14:textId="77777777" w:rsidR="00E41CC7" w:rsidRPr="00E41CC7" w:rsidRDefault="00E41CC7" w:rsidP="003319EE">
      <w:pPr>
        <w:pStyle w:val="webbullet1"/>
      </w:pPr>
      <w:r w:rsidRPr="003319EE">
        <w:rPr>
          <w:rStyle w:val="webbold"/>
        </w:rPr>
        <w:t>Personal supervision</w:t>
      </w:r>
      <w:r w:rsidR="00DD4764">
        <w:rPr>
          <w:rStyle w:val="webbold"/>
        </w:rPr>
        <w:t xml:space="preserve"> -</w:t>
      </w:r>
      <w:r w:rsidRPr="00E41CC7">
        <w:t xml:space="preserve"> a physician must be in attendance in the room during the performance of the procedure.</w:t>
      </w:r>
    </w:p>
    <w:p w14:paraId="46540124" w14:textId="77777777" w:rsidR="00E41CC7" w:rsidRPr="00DD4764" w:rsidRDefault="00E41CC7" w:rsidP="00DD4764">
      <w:pPr>
        <w:pStyle w:val="webnormal"/>
      </w:pPr>
      <w:r w:rsidRPr="00DD4764">
        <w:t>This policy applies to</w:t>
      </w:r>
      <w:r w:rsidR="003319EE" w:rsidRPr="00DD4764">
        <w:t xml:space="preserve"> technical components</w:t>
      </w:r>
      <w:r w:rsidR="002B3984" w:rsidRPr="00DD4764">
        <w:t xml:space="preserve"> (TCs)</w:t>
      </w:r>
      <w:r w:rsidRPr="00DD4764">
        <w:t xml:space="preserve"> (including TCs billed globally with the </w:t>
      </w:r>
      <w:r w:rsidR="003319EE" w:rsidRPr="00DD4764">
        <w:t>professional component</w:t>
      </w:r>
      <w:r w:rsidR="002B3984" w:rsidRPr="00DD4764">
        <w:t xml:space="preserve"> (PC) of the procedure) </w:t>
      </w:r>
      <w:r w:rsidRPr="00DD4764">
        <w:t>and other diagnostic procedures</w:t>
      </w:r>
      <w:r w:rsidR="000E2D4A" w:rsidRPr="00DD4764">
        <w:t>,</w:t>
      </w:r>
      <w:r w:rsidRPr="00DD4764">
        <w:t xml:space="preserve"> which do not have relative value units reflecting physician work. These supervision requirements do not apply to diagnostic tests furnished in hospitals.</w:t>
      </w:r>
    </w:p>
    <w:p w14:paraId="1FBCAA88" w14:textId="77777777" w:rsidR="00E41CC7" w:rsidRDefault="00E41CC7" w:rsidP="00E41CC7">
      <w:pPr>
        <w:pStyle w:val="webnormal"/>
      </w:pPr>
      <w:r w:rsidRPr="00E41CC7">
        <w:t>Documentation maintained by the billing provider must be able to demonstrate that the required physician supervision is furnished. Services that are not performed under the appropriate supervision are not considered reasonable and necessary and, therefore, are not covered</w:t>
      </w:r>
      <w:r w:rsidR="00DD4764">
        <w:t>.</w:t>
      </w:r>
      <w:r w:rsidRPr="00E41CC7">
        <w:t xml:space="preserve"> </w:t>
      </w:r>
    </w:p>
    <w:p w14:paraId="23E6DED4" w14:textId="2FB6FB22" w:rsidR="002724A7" w:rsidRPr="002B3984" w:rsidRDefault="002724A7" w:rsidP="00CD783E">
      <w:pPr>
        <w:pStyle w:val="webheader2"/>
      </w:pPr>
      <w:bookmarkStart w:id="1" w:name="5"/>
      <w:r w:rsidRPr="002B3984">
        <w:t xml:space="preserve">Code </w:t>
      </w:r>
      <w:r w:rsidR="00A2707D">
        <w:t>s</w:t>
      </w:r>
      <w:r w:rsidRPr="002B3984">
        <w:t xml:space="preserve">pecific </w:t>
      </w:r>
      <w:r w:rsidR="00A2707D">
        <w:t>s</w:t>
      </w:r>
      <w:r w:rsidRPr="002B3984">
        <w:t xml:space="preserve">upervision </w:t>
      </w:r>
      <w:r w:rsidR="00A2707D">
        <w:t>l</w:t>
      </w:r>
      <w:r w:rsidRPr="002B3984">
        <w:t>evels</w:t>
      </w:r>
      <w:bookmarkEnd w:id="1"/>
    </w:p>
    <w:p w14:paraId="6AFF2010" w14:textId="135D5127" w:rsidR="002724A7" w:rsidRDefault="002724A7" w:rsidP="002724A7">
      <w:pPr>
        <w:pStyle w:val="webnormal"/>
      </w:pPr>
      <w:r w:rsidRPr="00DD4764">
        <w:t xml:space="preserve">The level of supervision required for each diagnostic test is published by the Centers for Medicare </w:t>
      </w:r>
      <w:r w:rsidR="007E2A8A">
        <w:t>&amp;</w:t>
      </w:r>
      <w:r w:rsidRPr="00DD4764">
        <w:t xml:space="preserve"> Medicaid Services as a part of the Medicare Physician Fee Schedule Database. To determine the level of supervision for a specific </w:t>
      </w:r>
      <w:r w:rsidR="00A2707D">
        <w:t>HCPCS</w:t>
      </w:r>
      <w:r w:rsidRPr="00DD4764">
        <w:t xml:space="preserve"> or </w:t>
      </w:r>
      <w:r w:rsidR="00A2707D">
        <w:t>CPT</w:t>
      </w:r>
      <w:r w:rsidRPr="00DD4764">
        <w:t xml:space="preserve"> code, please refer to </w:t>
      </w:r>
      <w:r w:rsidR="007E2A8A">
        <w:t xml:space="preserve">the </w:t>
      </w:r>
      <w:r w:rsidR="00A2707D">
        <w:t>p</w:t>
      </w:r>
      <w:r w:rsidR="007E2A8A">
        <w:t xml:space="preserve">hysician </w:t>
      </w:r>
      <w:r w:rsidR="00A2707D">
        <w:t>s</w:t>
      </w:r>
      <w:r w:rsidR="007E2A8A">
        <w:t xml:space="preserve">upervision and </w:t>
      </w:r>
      <w:r w:rsidR="00A2707D">
        <w:t>d</w:t>
      </w:r>
      <w:r w:rsidR="007E2A8A">
        <w:t xml:space="preserve">iagnostic </w:t>
      </w:r>
      <w:r w:rsidR="00A2707D">
        <w:t>p</w:t>
      </w:r>
      <w:r w:rsidR="007E2A8A">
        <w:t xml:space="preserve">rocedures indicator, located under </w:t>
      </w:r>
      <w:r w:rsidR="00A2707D">
        <w:t>s</w:t>
      </w:r>
      <w:r w:rsidR="007E2A8A">
        <w:t xml:space="preserve">tatus </w:t>
      </w:r>
      <w:r w:rsidR="00A2707D">
        <w:t>i</w:t>
      </w:r>
      <w:r w:rsidR="007E2A8A">
        <w:t xml:space="preserve">ndicators, on </w:t>
      </w:r>
      <w:r w:rsidR="007E2A8A" w:rsidRPr="007E2A8A">
        <w:t>the Physician’s Fee Schedule Code Search &amp; Downloads (</w:t>
      </w:r>
      <w:hyperlink r:id="rId8" w:history="1">
        <w:r w:rsidR="007E2A8A" w:rsidRPr="007E2A8A">
          <w:rPr>
            <w:rStyle w:val="Hyperlink"/>
          </w:rPr>
          <w:t>JH</w:t>
        </w:r>
      </w:hyperlink>
      <w:r w:rsidR="007E2A8A" w:rsidRPr="007E2A8A">
        <w:t>) (</w:t>
      </w:r>
      <w:hyperlink r:id="rId9" w:history="1">
        <w:r w:rsidR="007E2A8A" w:rsidRPr="007E2A8A">
          <w:rPr>
            <w:rStyle w:val="Hyperlink"/>
          </w:rPr>
          <w:t>JL</w:t>
        </w:r>
      </w:hyperlink>
      <w:r w:rsidR="007E2A8A" w:rsidRPr="007E2A8A">
        <w:t>)</w:t>
      </w:r>
      <w:r w:rsidR="007E2A8A">
        <w:t>,</w:t>
      </w:r>
      <w:r w:rsidR="007E2A8A" w:rsidRPr="007E2A8A">
        <w:t xml:space="preserve"> available on our website.</w:t>
      </w:r>
    </w:p>
    <w:p w14:paraId="587DF6BA" w14:textId="77777777" w:rsidR="002724A7" w:rsidRDefault="002724A7" w:rsidP="002724A7">
      <w:pPr>
        <w:pStyle w:val="webnormal"/>
      </w:pPr>
      <w:r>
        <w:rPr>
          <w:noProof/>
        </w:rPr>
        <w:lastRenderedPageBreak/>
        <w:drawing>
          <wp:inline distT="0" distB="0" distL="0" distR="0" wp14:anchorId="6028164A" wp14:editId="7CEC0DE3">
            <wp:extent cx="6138438" cy="2286000"/>
            <wp:effectExtent l="19050" t="19050" r="15240" b="19050"/>
            <wp:docPr id="2" name="Picture 2" descr="image of status indicators from fee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 Sched_Status Indicators 12.14.18.PNG"/>
                    <pic:cNvPicPr/>
                  </pic:nvPicPr>
                  <pic:blipFill>
                    <a:blip r:embed="rId10">
                      <a:extLst>
                        <a:ext uri="{28A0092B-C50C-407E-A947-70E740481C1C}">
                          <a14:useLocalDpi xmlns:a14="http://schemas.microsoft.com/office/drawing/2010/main" val="0"/>
                        </a:ext>
                      </a:extLst>
                    </a:blip>
                    <a:stretch>
                      <a:fillRect/>
                    </a:stretch>
                  </pic:blipFill>
                  <pic:spPr>
                    <a:xfrm>
                      <a:off x="0" y="0"/>
                      <a:ext cx="6138438" cy="2286000"/>
                    </a:xfrm>
                    <a:prstGeom prst="rect">
                      <a:avLst/>
                    </a:prstGeom>
                    <a:ln w="15875">
                      <a:solidFill>
                        <a:schemeClr val="tx1"/>
                      </a:solidFill>
                    </a:ln>
                  </pic:spPr>
                </pic:pic>
              </a:graphicData>
            </a:graphic>
          </wp:inline>
        </w:drawing>
      </w:r>
    </w:p>
    <w:tbl>
      <w:tblPr>
        <w:tblW w:w="0" w:type="auto"/>
        <w:tblInd w:w="108" w:type="dxa"/>
        <w:tblLook w:val="0000" w:firstRow="0" w:lastRow="0" w:firstColumn="0" w:lastColumn="0" w:noHBand="0" w:noVBand="0"/>
      </w:tblPr>
      <w:tblGrid>
        <w:gridCol w:w="829"/>
        <w:gridCol w:w="9863"/>
      </w:tblGrid>
      <w:tr w:rsidR="000E2D4A" w14:paraId="7818FA5A" w14:textId="77777777" w:rsidTr="00D57AFE">
        <w:tc>
          <w:tcPr>
            <w:tcW w:w="829" w:type="dxa"/>
          </w:tcPr>
          <w:p w14:paraId="736F3394" w14:textId="77777777" w:rsidR="000E2D4A" w:rsidRPr="002B3984" w:rsidRDefault="008C6B44" w:rsidP="002B3984">
            <w:pPr>
              <w:pStyle w:val="webnormal"/>
            </w:pPr>
            <w:r w:rsidRPr="002B3984">
              <w:t>Level</w:t>
            </w:r>
          </w:p>
        </w:tc>
        <w:tc>
          <w:tcPr>
            <w:tcW w:w="9863" w:type="dxa"/>
          </w:tcPr>
          <w:p w14:paraId="0C1AB831" w14:textId="77777777" w:rsidR="000E2D4A" w:rsidRPr="002B3984" w:rsidRDefault="008C6B44" w:rsidP="002B3984">
            <w:pPr>
              <w:pStyle w:val="webnormal"/>
            </w:pPr>
            <w:r w:rsidRPr="002B3984">
              <w:t>Description</w:t>
            </w:r>
          </w:p>
        </w:tc>
      </w:tr>
      <w:tr w:rsidR="008C6B44" w14:paraId="3F946241" w14:textId="77777777" w:rsidTr="00D57AFE">
        <w:tc>
          <w:tcPr>
            <w:tcW w:w="829" w:type="dxa"/>
          </w:tcPr>
          <w:p w14:paraId="714944A1" w14:textId="4AC7C34C" w:rsidR="008C6B44" w:rsidRDefault="00CE2F42" w:rsidP="004222E6">
            <w:pPr>
              <w:pStyle w:val="webcenter"/>
            </w:pPr>
            <w:r>
              <w:t>0</w:t>
            </w:r>
            <w:r w:rsidR="008C6B44">
              <w:t>1</w:t>
            </w:r>
          </w:p>
        </w:tc>
        <w:tc>
          <w:tcPr>
            <w:tcW w:w="9863" w:type="dxa"/>
          </w:tcPr>
          <w:p w14:paraId="22DAD119" w14:textId="77777777" w:rsidR="008C6B44" w:rsidRDefault="008C6B44" w:rsidP="004222E6">
            <w:pPr>
              <w:pStyle w:val="webnormal"/>
            </w:pPr>
            <w:r w:rsidRPr="00E41CC7">
              <w:t>Procedure must be performed under the general supervision of a physician.</w:t>
            </w:r>
          </w:p>
        </w:tc>
      </w:tr>
      <w:tr w:rsidR="008C6B44" w14:paraId="6C5318B1" w14:textId="77777777" w:rsidTr="00D57AFE">
        <w:tc>
          <w:tcPr>
            <w:tcW w:w="829" w:type="dxa"/>
          </w:tcPr>
          <w:p w14:paraId="3A8A3DF7" w14:textId="6C9C0BC1" w:rsidR="008C6B44" w:rsidRDefault="00CE2F42" w:rsidP="004222E6">
            <w:pPr>
              <w:pStyle w:val="webcenter"/>
            </w:pPr>
            <w:r>
              <w:t>0</w:t>
            </w:r>
            <w:r w:rsidR="008C6B44">
              <w:t>2</w:t>
            </w:r>
          </w:p>
        </w:tc>
        <w:tc>
          <w:tcPr>
            <w:tcW w:w="9863" w:type="dxa"/>
          </w:tcPr>
          <w:p w14:paraId="64780B37" w14:textId="5100673F" w:rsidR="008C6B44" w:rsidRPr="00E41CC7" w:rsidRDefault="008C6B44" w:rsidP="004222E6">
            <w:pPr>
              <w:pStyle w:val="webnormal"/>
            </w:pPr>
            <w:r w:rsidRPr="008C6B44">
              <w:t>Procedure must be performed under the direct supervision of a physician</w:t>
            </w:r>
            <w:r w:rsidR="00CE2F42">
              <w:t xml:space="preserve">, independent </w:t>
            </w:r>
            <w:proofErr w:type="gramStart"/>
            <w:r w:rsidR="00CE2F42">
              <w:t>psychologist</w:t>
            </w:r>
            <w:proofErr w:type="gramEnd"/>
            <w:r w:rsidR="00CE2F42">
              <w:t xml:space="preserve"> or a clinical psychologist.</w:t>
            </w:r>
          </w:p>
        </w:tc>
      </w:tr>
      <w:tr w:rsidR="008C6B44" w14:paraId="572D72A4" w14:textId="77777777" w:rsidTr="00D57AFE">
        <w:tc>
          <w:tcPr>
            <w:tcW w:w="829" w:type="dxa"/>
          </w:tcPr>
          <w:p w14:paraId="4AE724BA" w14:textId="1785AF96" w:rsidR="008C6B44" w:rsidRDefault="00CE2F42" w:rsidP="004222E6">
            <w:pPr>
              <w:pStyle w:val="webcenter"/>
            </w:pPr>
            <w:r>
              <w:t>0</w:t>
            </w:r>
            <w:r w:rsidR="008C6B44">
              <w:t>3</w:t>
            </w:r>
          </w:p>
        </w:tc>
        <w:tc>
          <w:tcPr>
            <w:tcW w:w="9863" w:type="dxa"/>
          </w:tcPr>
          <w:p w14:paraId="2078D91A" w14:textId="77777777" w:rsidR="008C6B44" w:rsidRPr="008C6B44" w:rsidRDefault="008C6B44" w:rsidP="004222E6">
            <w:pPr>
              <w:pStyle w:val="webnormal"/>
            </w:pPr>
            <w:r w:rsidRPr="008C6B44">
              <w:t>Procedure must be performed under the personal supervision of a physician</w:t>
            </w:r>
            <w:r>
              <w:t>.</w:t>
            </w:r>
          </w:p>
        </w:tc>
      </w:tr>
      <w:tr w:rsidR="008C6B44" w14:paraId="013C7DFD" w14:textId="77777777" w:rsidTr="00D57AFE">
        <w:tc>
          <w:tcPr>
            <w:tcW w:w="829" w:type="dxa"/>
          </w:tcPr>
          <w:p w14:paraId="0593E043" w14:textId="7EADBCD8" w:rsidR="008C6B44" w:rsidRDefault="00CE2F42" w:rsidP="004222E6">
            <w:pPr>
              <w:pStyle w:val="webcenter"/>
            </w:pPr>
            <w:r>
              <w:t>0</w:t>
            </w:r>
            <w:r w:rsidR="008C6B44">
              <w:t>4</w:t>
            </w:r>
          </w:p>
        </w:tc>
        <w:tc>
          <w:tcPr>
            <w:tcW w:w="9863" w:type="dxa"/>
          </w:tcPr>
          <w:p w14:paraId="150F2649" w14:textId="7DFF090D" w:rsidR="008C6B44" w:rsidRPr="008C6B44" w:rsidRDefault="008C6B44" w:rsidP="004222E6">
            <w:pPr>
              <w:pStyle w:val="webnormal"/>
            </w:pPr>
            <w:r w:rsidRPr="008C6B44">
              <w:t>Physician supervision policy does not apply when procedure is furnished by a qualified, independent psychologist or a clinical psychologist or furnished under the general supervision of a clinical psychologist; otherwise</w:t>
            </w:r>
            <w:r w:rsidR="00A2707D">
              <w:t>,</w:t>
            </w:r>
            <w:r w:rsidRPr="008C6B44">
              <w:t xml:space="preserve"> must be performed under the general supervision of a physician.</w:t>
            </w:r>
          </w:p>
        </w:tc>
      </w:tr>
      <w:tr w:rsidR="008C6B44" w14:paraId="0E49D987" w14:textId="77777777" w:rsidTr="00D57AFE">
        <w:tc>
          <w:tcPr>
            <w:tcW w:w="829" w:type="dxa"/>
          </w:tcPr>
          <w:p w14:paraId="08BA009F" w14:textId="6A32A2E0" w:rsidR="008C6B44" w:rsidRDefault="00CE2F42" w:rsidP="004222E6">
            <w:pPr>
              <w:pStyle w:val="webcenter"/>
            </w:pPr>
            <w:r>
              <w:t>0</w:t>
            </w:r>
            <w:r w:rsidR="008C6B44">
              <w:t>5</w:t>
            </w:r>
          </w:p>
        </w:tc>
        <w:tc>
          <w:tcPr>
            <w:tcW w:w="9863" w:type="dxa"/>
          </w:tcPr>
          <w:p w14:paraId="62B67F98" w14:textId="3BF44E77" w:rsidR="008C6B44" w:rsidRPr="008C6B44" w:rsidRDefault="008C6B44" w:rsidP="004222E6">
            <w:pPr>
              <w:pStyle w:val="webnormal"/>
            </w:pPr>
            <w:r w:rsidRPr="008C6B44">
              <w:t>Physician supervision policy does not apply when procedure personally furnished by a qualified audiologist</w:t>
            </w:r>
            <w:r w:rsidR="00CE2F42">
              <w:t xml:space="preserve">, physician, or non-physician practitioner. Direct supervision by a physician is required for those parts of the test that may be furnished by a qualified technician when appropriate to the circumstances of the tests. </w:t>
            </w:r>
          </w:p>
        </w:tc>
      </w:tr>
      <w:tr w:rsidR="008C6B44" w14:paraId="44EB550A" w14:textId="77777777" w:rsidTr="00D57AFE">
        <w:tc>
          <w:tcPr>
            <w:tcW w:w="829" w:type="dxa"/>
          </w:tcPr>
          <w:p w14:paraId="422AD008" w14:textId="267303A6" w:rsidR="008C6B44" w:rsidRDefault="00CE2F42" w:rsidP="004222E6">
            <w:pPr>
              <w:pStyle w:val="webcenter"/>
            </w:pPr>
            <w:r>
              <w:t>0</w:t>
            </w:r>
            <w:r w:rsidR="008C6B44">
              <w:t>6</w:t>
            </w:r>
          </w:p>
        </w:tc>
        <w:tc>
          <w:tcPr>
            <w:tcW w:w="9863" w:type="dxa"/>
          </w:tcPr>
          <w:p w14:paraId="7F7BA163" w14:textId="7CB37B19" w:rsidR="008C6B44" w:rsidRPr="008C6B44" w:rsidRDefault="008C6B44" w:rsidP="004222E6">
            <w:pPr>
              <w:pStyle w:val="webnormal"/>
            </w:pPr>
            <w:r w:rsidRPr="008C6B44">
              <w:t xml:space="preserve">Procedure must be personally performed by a physician </w:t>
            </w:r>
            <w:r w:rsidR="00A2707D" w:rsidRPr="00A2707D">
              <w:rPr>
                <w:rStyle w:val="webbold"/>
              </w:rPr>
              <w:t>or</w:t>
            </w:r>
            <w:r w:rsidRPr="008C6B44">
              <w:t xml:space="preserve"> a physical therapist who is certified by the ABPTS as a qualified electrophysiologic clinical specialist and is permitted to provide the service under State law.</w:t>
            </w:r>
            <w:r w:rsidR="00CE2F42">
              <w:t xml:space="preserve"> Procedure may also be performed by a PT with ABPTS certification without physician supervision. </w:t>
            </w:r>
          </w:p>
        </w:tc>
      </w:tr>
      <w:tr w:rsidR="008C6B44" w14:paraId="6AA44882" w14:textId="77777777" w:rsidTr="00D57AFE">
        <w:tc>
          <w:tcPr>
            <w:tcW w:w="829" w:type="dxa"/>
          </w:tcPr>
          <w:p w14:paraId="132A4710" w14:textId="77777777" w:rsidR="008C6B44" w:rsidRDefault="008C6B44" w:rsidP="004222E6">
            <w:pPr>
              <w:pStyle w:val="webcenter"/>
            </w:pPr>
            <w:r>
              <w:t>6a</w:t>
            </w:r>
          </w:p>
        </w:tc>
        <w:tc>
          <w:tcPr>
            <w:tcW w:w="9863" w:type="dxa"/>
          </w:tcPr>
          <w:p w14:paraId="57F4EFE7" w14:textId="77777777" w:rsidR="008C6B44" w:rsidRPr="008C6B44" w:rsidRDefault="008C6B44" w:rsidP="004222E6">
            <w:pPr>
              <w:pStyle w:val="webnormal"/>
            </w:pPr>
            <w:r w:rsidRPr="008C6B44">
              <w:t>Supervision standards for level 66 apply; in addition, the PT with ABPTS certification may supervise another PT but only the PT with ABPTS certification may bill.</w:t>
            </w:r>
          </w:p>
        </w:tc>
      </w:tr>
      <w:tr w:rsidR="008C6B44" w14:paraId="18BEDB4F" w14:textId="77777777" w:rsidTr="00D57AFE">
        <w:tc>
          <w:tcPr>
            <w:tcW w:w="829" w:type="dxa"/>
          </w:tcPr>
          <w:p w14:paraId="3B7E8A07" w14:textId="698794F3" w:rsidR="008C6B44" w:rsidRDefault="00D57AFE" w:rsidP="004222E6">
            <w:pPr>
              <w:pStyle w:val="webcenter"/>
            </w:pPr>
            <w:r>
              <w:t>0</w:t>
            </w:r>
            <w:r w:rsidR="008C6B44">
              <w:t>9</w:t>
            </w:r>
          </w:p>
        </w:tc>
        <w:tc>
          <w:tcPr>
            <w:tcW w:w="9863" w:type="dxa"/>
          </w:tcPr>
          <w:p w14:paraId="0082107A" w14:textId="77777777" w:rsidR="008C6B44" w:rsidRPr="008C6B44" w:rsidRDefault="008C6B44" w:rsidP="004222E6">
            <w:pPr>
              <w:pStyle w:val="webnormal"/>
            </w:pPr>
            <w:r w:rsidRPr="008C6B44">
              <w:t>Concept does not apply</w:t>
            </w:r>
            <w:r>
              <w:t>.</w:t>
            </w:r>
          </w:p>
        </w:tc>
      </w:tr>
      <w:tr w:rsidR="008C6B44" w14:paraId="16B0ACBF" w14:textId="77777777" w:rsidTr="00D57AFE">
        <w:tc>
          <w:tcPr>
            <w:tcW w:w="829" w:type="dxa"/>
          </w:tcPr>
          <w:p w14:paraId="6CF02802" w14:textId="77777777" w:rsidR="008C6B44" w:rsidRDefault="008C6B44" w:rsidP="004222E6">
            <w:pPr>
              <w:pStyle w:val="webcenter"/>
            </w:pPr>
            <w:r>
              <w:t>21</w:t>
            </w:r>
          </w:p>
        </w:tc>
        <w:tc>
          <w:tcPr>
            <w:tcW w:w="9863" w:type="dxa"/>
          </w:tcPr>
          <w:p w14:paraId="543BD6EA" w14:textId="6A6500AA" w:rsidR="008C6B44" w:rsidRPr="008C6B44" w:rsidRDefault="008C6B44" w:rsidP="00E41CC7">
            <w:pPr>
              <w:pStyle w:val="webnormal"/>
            </w:pPr>
            <w:r w:rsidRPr="008C6B44">
              <w:t xml:space="preserve">Procedure must be performed by a technician with certification under general supervision of a physician; </w:t>
            </w:r>
            <w:r w:rsidR="00CE2F42" w:rsidRPr="008C6B44">
              <w:t>otherwise,</w:t>
            </w:r>
            <w:r w:rsidRPr="008C6B44">
              <w:t xml:space="preserve"> must be performed under direct supervision of a physician.</w:t>
            </w:r>
            <w:r w:rsidR="00CE2F42">
              <w:t xml:space="preserve"> Procedure may also be performed by a PT with ABPTS certification without physician supervision.</w:t>
            </w:r>
          </w:p>
        </w:tc>
      </w:tr>
      <w:tr w:rsidR="008C6B44" w14:paraId="4DE55A62" w14:textId="77777777" w:rsidTr="00D57AFE">
        <w:tc>
          <w:tcPr>
            <w:tcW w:w="829" w:type="dxa"/>
          </w:tcPr>
          <w:p w14:paraId="12DFD7C8" w14:textId="77777777" w:rsidR="008C6B44" w:rsidRDefault="008C6B44" w:rsidP="004222E6">
            <w:pPr>
              <w:pStyle w:val="webcenter"/>
            </w:pPr>
            <w:r>
              <w:t>22</w:t>
            </w:r>
          </w:p>
        </w:tc>
        <w:tc>
          <w:tcPr>
            <w:tcW w:w="9863" w:type="dxa"/>
          </w:tcPr>
          <w:p w14:paraId="3065D692" w14:textId="77777777" w:rsidR="008C6B44" w:rsidRPr="008C6B44" w:rsidRDefault="008C6B44" w:rsidP="00E41CC7">
            <w:pPr>
              <w:pStyle w:val="webnormal"/>
            </w:pPr>
            <w:r>
              <w:t>M</w:t>
            </w:r>
            <w:r w:rsidRPr="008C6B44">
              <w:t>ay be performed by a technician with on-line real-time contact with physician</w:t>
            </w:r>
            <w:r>
              <w:t>.</w:t>
            </w:r>
          </w:p>
        </w:tc>
      </w:tr>
      <w:tr w:rsidR="008C6B44" w14:paraId="1137DD9F" w14:textId="77777777" w:rsidTr="00D57AFE">
        <w:tc>
          <w:tcPr>
            <w:tcW w:w="829" w:type="dxa"/>
          </w:tcPr>
          <w:p w14:paraId="72C9360B" w14:textId="77777777" w:rsidR="008C6B44" w:rsidRDefault="008C6B44" w:rsidP="004222E6">
            <w:pPr>
              <w:pStyle w:val="webcenter"/>
            </w:pPr>
            <w:r>
              <w:t>66</w:t>
            </w:r>
          </w:p>
        </w:tc>
        <w:tc>
          <w:tcPr>
            <w:tcW w:w="9863" w:type="dxa"/>
          </w:tcPr>
          <w:p w14:paraId="2C2B3909" w14:textId="77777777" w:rsidR="008C6B44" w:rsidRDefault="008C6B44" w:rsidP="00E41CC7">
            <w:pPr>
              <w:pStyle w:val="webnormal"/>
            </w:pPr>
            <w:r w:rsidRPr="008C6B44">
              <w:t>Procedure must be performed by a physician or by a PT with ABPTS certification and certification in this specific procedure.</w:t>
            </w:r>
          </w:p>
        </w:tc>
      </w:tr>
      <w:tr w:rsidR="008C6B44" w14:paraId="2AF2C7C3" w14:textId="77777777" w:rsidTr="00D57AFE">
        <w:tc>
          <w:tcPr>
            <w:tcW w:w="829" w:type="dxa"/>
          </w:tcPr>
          <w:p w14:paraId="273DDDF4" w14:textId="77777777" w:rsidR="008C6B44" w:rsidRDefault="008C6B44" w:rsidP="004222E6">
            <w:pPr>
              <w:pStyle w:val="webcenter"/>
            </w:pPr>
            <w:r>
              <w:lastRenderedPageBreak/>
              <w:t>77</w:t>
            </w:r>
          </w:p>
        </w:tc>
        <w:tc>
          <w:tcPr>
            <w:tcW w:w="9863" w:type="dxa"/>
          </w:tcPr>
          <w:p w14:paraId="0B788E2B" w14:textId="7A2C6618" w:rsidR="008C6B44" w:rsidRPr="008C6B44" w:rsidRDefault="008C6B44" w:rsidP="00E41CC7">
            <w:pPr>
              <w:pStyle w:val="webnormal"/>
            </w:pPr>
            <w:r w:rsidRPr="008C6B44">
              <w:t xml:space="preserve">Procedure must be performed by a PT with ABPTS certification </w:t>
            </w:r>
            <w:r w:rsidR="00CE2F42">
              <w:t xml:space="preserve">(TC &amp; PC) </w:t>
            </w:r>
            <w:r w:rsidRPr="008C6B44">
              <w:t>or by a PT without certification under direct supervision of a physician</w:t>
            </w:r>
            <w:r w:rsidR="00CE2F42">
              <w:t xml:space="preserve"> (TC &amp; PC)</w:t>
            </w:r>
            <w:r w:rsidRPr="008C6B44">
              <w:t>, or by a technician with certification under general supervision of a physician.</w:t>
            </w:r>
            <w:r w:rsidR="00CE2F42">
              <w:t xml:space="preserve"> (TC only; PC always physician).</w:t>
            </w:r>
          </w:p>
        </w:tc>
      </w:tr>
      <w:tr w:rsidR="008C6B44" w14:paraId="5E125D5B" w14:textId="77777777" w:rsidTr="00D57AFE">
        <w:tc>
          <w:tcPr>
            <w:tcW w:w="829" w:type="dxa"/>
          </w:tcPr>
          <w:p w14:paraId="3EE649E6" w14:textId="77777777" w:rsidR="008C6B44" w:rsidRDefault="008C6B44" w:rsidP="004222E6">
            <w:pPr>
              <w:pStyle w:val="webcenter"/>
            </w:pPr>
            <w:r>
              <w:t>7a</w:t>
            </w:r>
          </w:p>
        </w:tc>
        <w:tc>
          <w:tcPr>
            <w:tcW w:w="9863" w:type="dxa"/>
          </w:tcPr>
          <w:p w14:paraId="23ADD007" w14:textId="78AB9532" w:rsidR="008C6B44" w:rsidRPr="008C6B44" w:rsidRDefault="008C6B44" w:rsidP="00E41CC7">
            <w:pPr>
              <w:pStyle w:val="webnormal"/>
            </w:pPr>
            <w:r w:rsidRPr="008C6B44">
              <w:t xml:space="preserve">Supervision standards for level 77 apply; in addition, the PT with ABPTS certification may </w:t>
            </w:r>
            <w:r w:rsidR="00D57AFE">
              <w:t xml:space="preserve">personally </w:t>
            </w:r>
            <w:r w:rsidRPr="008C6B44">
              <w:t>supervise another PT but only the PT with ABPTS certification may bill.</w:t>
            </w:r>
          </w:p>
        </w:tc>
      </w:tr>
    </w:tbl>
    <w:p w14:paraId="626F70F6" w14:textId="7E1E9E64" w:rsidR="00E41CC7" w:rsidRPr="002B3984" w:rsidRDefault="00E41CC7" w:rsidP="002B3984">
      <w:pPr>
        <w:pStyle w:val="webheader2"/>
      </w:pPr>
      <w:bookmarkStart w:id="2" w:name="3"/>
      <w:r w:rsidRPr="002B3984">
        <w:t xml:space="preserve">License </w:t>
      </w:r>
      <w:r w:rsidR="00A2707D">
        <w:t>p</w:t>
      </w:r>
      <w:r w:rsidRPr="002B3984">
        <w:t>ractitioners</w:t>
      </w:r>
      <w:bookmarkEnd w:id="2"/>
    </w:p>
    <w:p w14:paraId="684D773D" w14:textId="34D39A3C" w:rsidR="00DD4764" w:rsidRDefault="00DD4764" w:rsidP="00E41CC7">
      <w:pPr>
        <w:pStyle w:val="webnormal"/>
      </w:pPr>
      <w:r>
        <w:t xml:space="preserve">The following are </w:t>
      </w:r>
      <w:r w:rsidR="00425109">
        <w:t xml:space="preserve">authorized to supervise the performance of diagnostic tests in addition to physicians: </w:t>
      </w:r>
    </w:p>
    <w:p w14:paraId="7EE4523F" w14:textId="77777777" w:rsidR="00DD4764" w:rsidRDefault="00E41CC7" w:rsidP="00DD4764">
      <w:pPr>
        <w:pStyle w:val="webbullet1"/>
      </w:pPr>
      <w:r w:rsidRPr="00E41CC7">
        <w:t xml:space="preserve">Nurse practitioners </w:t>
      </w:r>
    </w:p>
    <w:p w14:paraId="18343B17" w14:textId="77777777" w:rsidR="00DD4764" w:rsidRDefault="00DD4764" w:rsidP="00DD4764">
      <w:pPr>
        <w:pStyle w:val="webbullet1"/>
      </w:pPr>
      <w:r>
        <w:t>C</w:t>
      </w:r>
      <w:r w:rsidR="00E41CC7" w:rsidRPr="00E41CC7">
        <w:t xml:space="preserve">linical nurse specialist </w:t>
      </w:r>
    </w:p>
    <w:p w14:paraId="26CBB31B" w14:textId="34D0C884" w:rsidR="00DD4764" w:rsidRDefault="00DD4764" w:rsidP="00DD4764">
      <w:pPr>
        <w:pStyle w:val="webbullet1"/>
      </w:pPr>
      <w:r>
        <w:t>P</w:t>
      </w:r>
      <w:r w:rsidR="00E41CC7" w:rsidRPr="00E41CC7">
        <w:t xml:space="preserve">hysician assistants </w:t>
      </w:r>
    </w:p>
    <w:p w14:paraId="48A93154" w14:textId="36635370" w:rsidR="00425109" w:rsidRDefault="00425109" w:rsidP="00425109">
      <w:pPr>
        <w:pStyle w:val="webnormal"/>
      </w:pPr>
      <w:r>
        <w:t xml:space="preserve">When NPs, CNSs, Pas personally perform diagnostic tests, the supervision/collaboration requirements under Section 1861 (s)(3) of the Act and 42CRF 410.32 don't apply. Rather, these practitioners are authorized to personally perform diagnostic tests under the supervision/collaborative requirements applicable to their practitioner benefit category pursuant to state scope of practice laws and under the applicable state requirements. </w:t>
      </w:r>
    </w:p>
    <w:p w14:paraId="006B1DC2" w14:textId="1C3EC5C8" w:rsidR="00E41CC7" w:rsidRPr="002B3984" w:rsidRDefault="008C6B44" w:rsidP="002B3984">
      <w:pPr>
        <w:pStyle w:val="webheader2"/>
      </w:pPr>
      <w:bookmarkStart w:id="3" w:name="4"/>
      <w:r w:rsidRPr="002B3984">
        <w:t>'</w:t>
      </w:r>
      <w:r w:rsidR="00E41CC7" w:rsidRPr="002B3984">
        <w:t>Incident To</w:t>
      </w:r>
      <w:r w:rsidRPr="002B3984">
        <w:t>'</w:t>
      </w:r>
      <w:r w:rsidR="00E41CC7" w:rsidRPr="002B3984">
        <w:t xml:space="preserve"> </w:t>
      </w:r>
      <w:r w:rsidR="00A2707D">
        <w:t>b</w:t>
      </w:r>
      <w:r w:rsidR="00E41CC7" w:rsidRPr="002B3984">
        <w:t>enefits</w:t>
      </w:r>
      <w:bookmarkEnd w:id="3"/>
    </w:p>
    <w:p w14:paraId="4CA1D2DE" w14:textId="55DF2C95" w:rsidR="00961D15" w:rsidRDefault="00DD4764" w:rsidP="00DD4764">
      <w:pPr>
        <w:pStyle w:val="webnormal"/>
      </w:pPr>
      <w:r>
        <w:t>D</w:t>
      </w:r>
      <w:r w:rsidRPr="00DD4764">
        <w:t>iagnostic tests need not me</w:t>
      </w:r>
      <w:r>
        <w:t>et the incident to requirements b</w:t>
      </w:r>
      <w:r w:rsidR="00E41CC7" w:rsidRPr="00DD4764">
        <w:t>ecause the diagnostic tests benefit set forth in §1861(s)(3) of the Act is separate and distinct from the incident to benefit set forth in §1861(s)(2) of the Act</w:t>
      </w:r>
      <w:r w:rsidR="00961D15">
        <w:t xml:space="preserve">. </w:t>
      </w:r>
      <w:r w:rsidR="00E41CC7" w:rsidRPr="00DD4764">
        <w:t xml:space="preserve"> </w:t>
      </w:r>
      <w:r w:rsidR="00961D15">
        <w:t>Diagnostic tests can't be billed to Medicare as incident to services. Accordingly, the supervision requirements under the incident to benefit category aren't applicable to the diagnostic tests benefit category.</w:t>
      </w:r>
    </w:p>
    <w:p w14:paraId="2746743C" w14:textId="1A42B61A" w:rsidR="00961D15" w:rsidRDefault="00961D15" w:rsidP="00961D15">
      <w:pPr>
        <w:pStyle w:val="webheader2"/>
      </w:pPr>
      <w:r>
        <w:t>Reference</w:t>
      </w:r>
    </w:p>
    <w:p w14:paraId="0C50CC81" w14:textId="68413DC6" w:rsidR="00961D15" w:rsidRPr="00961D15" w:rsidRDefault="00A2707D" w:rsidP="00A2707D">
      <w:pPr>
        <w:pStyle w:val="webbullet1"/>
      </w:pPr>
      <w:hyperlink r:id="rId11" w:history="1">
        <w:r w:rsidR="00961D15" w:rsidRPr="00961D15">
          <w:rPr>
            <w:rStyle w:val="Hyperlink"/>
          </w:rPr>
          <w:t>MLN Matters Supervision Requirements for Diagnostic Tests: Manual Update</w:t>
        </w:r>
      </w:hyperlink>
    </w:p>
    <w:p w14:paraId="2861448A" w14:textId="77237B84" w:rsidR="00E41CC7" w:rsidRPr="00DD4764" w:rsidRDefault="00961D15" w:rsidP="00DD4764">
      <w:pPr>
        <w:pStyle w:val="webnormal"/>
      </w:pPr>
      <w:r>
        <w:t xml:space="preserve"> </w:t>
      </w:r>
    </w:p>
    <w:sectPr w:rsidR="00E41CC7" w:rsidRPr="00DD4764"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60CF6"/>
    <w:multiLevelType w:val="multilevel"/>
    <w:tmpl w:val="D9C4D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F17522"/>
    <w:multiLevelType w:val="multilevel"/>
    <w:tmpl w:val="D778A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678964">
    <w:abstractNumId w:val="11"/>
  </w:num>
  <w:num w:numId="2" w16cid:durableId="1235119871">
    <w:abstractNumId w:val="14"/>
  </w:num>
  <w:num w:numId="3" w16cid:durableId="96172053">
    <w:abstractNumId w:val="10"/>
  </w:num>
  <w:num w:numId="4" w16cid:durableId="1047266277">
    <w:abstractNumId w:val="17"/>
  </w:num>
  <w:num w:numId="5" w16cid:durableId="871309074">
    <w:abstractNumId w:val="12"/>
  </w:num>
  <w:num w:numId="6" w16cid:durableId="1217551009">
    <w:abstractNumId w:val="15"/>
  </w:num>
  <w:num w:numId="7" w16cid:durableId="1418137332">
    <w:abstractNumId w:val="12"/>
  </w:num>
  <w:num w:numId="8" w16cid:durableId="524825733">
    <w:abstractNumId w:val="17"/>
  </w:num>
  <w:num w:numId="9" w16cid:durableId="346176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614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7058484">
    <w:abstractNumId w:val="11"/>
  </w:num>
  <w:num w:numId="12" w16cid:durableId="598608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3480400">
    <w:abstractNumId w:val="9"/>
  </w:num>
  <w:num w:numId="14" w16cid:durableId="1593515906">
    <w:abstractNumId w:val="7"/>
  </w:num>
  <w:num w:numId="15" w16cid:durableId="1945069312">
    <w:abstractNumId w:val="6"/>
  </w:num>
  <w:num w:numId="16" w16cid:durableId="597057170">
    <w:abstractNumId w:val="5"/>
  </w:num>
  <w:num w:numId="17" w16cid:durableId="50541245">
    <w:abstractNumId w:val="4"/>
  </w:num>
  <w:num w:numId="18" w16cid:durableId="107049020">
    <w:abstractNumId w:val="8"/>
  </w:num>
  <w:num w:numId="19" w16cid:durableId="1312367821">
    <w:abstractNumId w:val="3"/>
  </w:num>
  <w:num w:numId="20" w16cid:durableId="584261412">
    <w:abstractNumId w:val="2"/>
  </w:num>
  <w:num w:numId="21" w16cid:durableId="1632324316">
    <w:abstractNumId w:val="1"/>
  </w:num>
  <w:num w:numId="22" w16cid:durableId="1387756451">
    <w:abstractNumId w:val="0"/>
  </w:num>
  <w:num w:numId="23" w16cid:durableId="1339964511">
    <w:abstractNumId w:val="16"/>
  </w:num>
  <w:num w:numId="24" w16cid:durableId="123541713">
    <w:abstractNumId w:val="18"/>
  </w:num>
  <w:num w:numId="25" w16cid:durableId="186058556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E3"/>
    <w:rsid w:val="000C1D4A"/>
    <w:rsid w:val="000E2D4A"/>
    <w:rsid w:val="00130DF9"/>
    <w:rsid w:val="00145DCD"/>
    <w:rsid w:val="00155767"/>
    <w:rsid w:val="00157BBA"/>
    <w:rsid w:val="001A0AB9"/>
    <w:rsid w:val="001C4E73"/>
    <w:rsid w:val="00200CC4"/>
    <w:rsid w:val="00202A27"/>
    <w:rsid w:val="00265783"/>
    <w:rsid w:val="002724A7"/>
    <w:rsid w:val="00272E35"/>
    <w:rsid w:val="002B3984"/>
    <w:rsid w:val="003319EE"/>
    <w:rsid w:val="00391469"/>
    <w:rsid w:val="004162AE"/>
    <w:rsid w:val="004222E6"/>
    <w:rsid w:val="00425109"/>
    <w:rsid w:val="004400C4"/>
    <w:rsid w:val="004714B0"/>
    <w:rsid w:val="0049375B"/>
    <w:rsid w:val="00632C35"/>
    <w:rsid w:val="00691F2B"/>
    <w:rsid w:val="006E3869"/>
    <w:rsid w:val="006F77A9"/>
    <w:rsid w:val="0073729C"/>
    <w:rsid w:val="007925FC"/>
    <w:rsid w:val="007B479D"/>
    <w:rsid w:val="007D24BF"/>
    <w:rsid w:val="007E2A8A"/>
    <w:rsid w:val="007E6600"/>
    <w:rsid w:val="00803F9D"/>
    <w:rsid w:val="008123FC"/>
    <w:rsid w:val="00861C2B"/>
    <w:rsid w:val="0088323E"/>
    <w:rsid w:val="008A0E01"/>
    <w:rsid w:val="008C6B44"/>
    <w:rsid w:val="008F343B"/>
    <w:rsid w:val="009312AD"/>
    <w:rsid w:val="00961D15"/>
    <w:rsid w:val="009811F7"/>
    <w:rsid w:val="00986FB4"/>
    <w:rsid w:val="00990711"/>
    <w:rsid w:val="009B33E3"/>
    <w:rsid w:val="009E5068"/>
    <w:rsid w:val="009E6134"/>
    <w:rsid w:val="00A06303"/>
    <w:rsid w:val="00A2707D"/>
    <w:rsid w:val="00B2746C"/>
    <w:rsid w:val="00B44A0F"/>
    <w:rsid w:val="00BE35C1"/>
    <w:rsid w:val="00C16A79"/>
    <w:rsid w:val="00C261AE"/>
    <w:rsid w:val="00C665F7"/>
    <w:rsid w:val="00C700E8"/>
    <w:rsid w:val="00C719C3"/>
    <w:rsid w:val="00CA5794"/>
    <w:rsid w:val="00CE2F42"/>
    <w:rsid w:val="00D01372"/>
    <w:rsid w:val="00D05EB8"/>
    <w:rsid w:val="00D11DDE"/>
    <w:rsid w:val="00D57AFE"/>
    <w:rsid w:val="00DD4764"/>
    <w:rsid w:val="00DF2885"/>
    <w:rsid w:val="00E41CC7"/>
    <w:rsid w:val="00E60C0C"/>
    <w:rsid w:val="00E635D6"/>
    <w:rsid w:val="00EA68CB"/>
    <w:rsid w:val="00F23054"/>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4A3CC"/>
  <w15:docId w15:val="{30DA6B9B-F017-4494-8B59-55E3595A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E41CC7"/>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1Char">
    <w:name w:val="Heading 1 Char"/>
    <w:basedOn w:val="DefaultParagraphFont"/>
    <w:link w:val="Heading1"/>
    <w:uiPriority w:val="9"/>
    <w:rsid w:val="00E41CC7"/>
    <w:rPr>
      <w:rFonts w:asciiTheme="majorHAnsi" w:eastAsiaTheme="majorEastAsia" w:hAnsiTheme="majorHAnsi" w:cstheme="majorBidi"/>
      <w:b/>
      <w:bCs/>
      <w:color w:val="365F91" w:themeColor="accent1" w:themeShade="BF"/>
    </w:rPr>
  </w:style>
  <w:style w:type="paragraph" w:styleId="NormalWeb">
    <w:name w:val="Normal (Web)"/>
    <w:basedOn w:val="Normal"/>
    <w:uiPriority w:val="99"/>
    <w:semiHidden/>
    <w:unhideWhenUsed/>
    <w:locked/>
    <w:rsid w:val="00E41CC7"/>
    <w:rPr>
      <w:rFonts w:ascii="Times New Roman" w:hAnsi="Times New Roman"/>
      <w:sz w:val="24"/>
      <w:szCs w:val="24"/>
    </w:rPr>
  </w:style>
  <w:style w:type="character" w:styleId="Strong">
    <w:name w:val="Strong"/>
    <w:basedOn w:val="DefaultParagraphFont"/>
    <w:uiPriority w:val="22"/>
    <w:qFormat/>
    <w:locked/>
    <w:rsid w:val="00E41CC7"/>
    <w:rPr>
      <w:b/>
      <w:bCs/>
    </w:rPr>
  </w:style>
  <w:style w:type="character" w:styleId="UnresolvedMention">
    <w:name w:val="Unresolved Mention"/>
    <w:basedOn w:val="DefaultParagraphFont"/>
    <w:uiPriority w:val="99"/>
    <w:semiHidden/>
    <w:unhideWhenUsed/>
    <w:rsid w:val="00961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23302">
      <w:bodyDiv w:val="1"/>
      <w:marLeft w:val="0"/>
      <w:marRight w:val="0"/>
      <w:marTop w:val="120"/>
      <w:marBottom w:val="0"/>
      <w:divBdr>
        <w:top w:val="none" w:sz="0" w:space="0" w:color="auto"/>
        <w:left w:val="none" w:sz="0" w:space="0" w:color="auto"/>
        <w:bottom w:val="none" w:sz="0" w:space="0" w:color="auto"/>
        <w:right w:val="none" w:sz="0" w:space="0" w:color="auto"/>
      </w:divBdr>
      <w:divsChild>
        <w:div w:id="869487052">
          <w:marLeft w:val="0"/>
          <w:marRight w:val="0"/>
          <w:marTop w:val="0"/>
          <w:marBottom w:val="0"/>
          <w:divBdr>
            <w:top w:val="none" w:sz="0" w:space="0" w:color="auto"/>
            <w:left w:val="none" w:sz="0" w:space="0" w:color="auto"/>
            <w:bottom w:val="none" w:sz="0" w:space="0" w:color="auto"/>
            <w:right w:val="none" w:sz="0" w:space="0" w:color="auto"/>
          </w:divBdr>
          <w:divsChild>
            <w:div w:id="531117591">
              <w:marLeft w:val="0"/>
              <w:marRight w:val="0"/>
              <w:marTop w:val="0"/>
              <w:marBottom w:val="0"/>
              <w:divBdr>
                <w:top w:val="none" w:sz="0" w:space="0" w:color="auto"/>
                <w:left w:val="none" w:sz="0" w:space="0" w:color="auto"/>
                <w:bottom w:val="none" w:sz="0" w:space="0" w:color="auto"/>
                <w:right w:val="none" w:sz="0" w:space="0" w:color="auto"/>
              </w:divBdr>
              <w:divsChild>
                <w:div w:id="2054881524">
                  <w:marLeft w:val="0"/>
                  <w:marRight w:val="0"/>
                  <w:marTop w:val="0"/>
                  <w:marBottom w:val="0"/>
                  <w:divBdr>
                    <w:top w:val="none" w:sz="0" w:space="0" w:color="auto"/>
                    <w:left w:val="none" w:sz="0" w:space="0" w:color="auto"/>
                    <w:bottom w:val="none" w:sz="0" w:space="0" w:color="auto"/>
                    <w:right w:val="none" w:sz="0" w:space="0" w:color="auto"/>
                  </w:divBdr>
                  <w:divsChild>
                    <w:div w:id="288556599">
                      <w:marLeft w:val="0"/>
                      <w:marRight w:val="0"/>
                      <w:marTop w:val="0"/>
                      <w:marBottom w:val="0"/>
                      <w:divBdr>
                        <w:top w:val="none" w:sz="0" w:space="0" w:color="auto"/>
                        <w:left w:val="none" w:sz="0" w:space="0" w:color="auto"/>
                        <w:bottom w:val="none" w:sz="0" w:space="0" w:color="auto"/>
                        <w:right w:val="none" w:sz="0" w:space="0" w:color="auto"/>
                      </w:divBdr>
                      <w:divsChild>
                        <w:div w:id="1728607264">
                          <w:marLeft w:val="0"/>
                          <w:marRight w:val="0"/>
                          <w:marTop w:val="0"/>
                          <w:marBottom w:val="0"/>
                          <w:divBdr>
                            <w:top w:val="none" w:sz="0" w:space="0" w:color="auto"/>
                            <w:left w:val="none" w:sz="0" w:space="0" w:color="auto"/>
                            <w:bottom w:val="none" w:sz="0" w:space="0" w:color="auto"/>
                            <w:right w:val="none" w:sz="0" w:space="0" w:color="auto"/>
                          </w:divBdr>
                          <w:divsChild>
                            <w:div w:id="1626932517">
                              <w:marLeft w:val="0"/>
                              <w:marRight w:val="0"/>
                              <w:marTop w:val="0"/>
                              <w:marBottom w:val="0"/>
                              <w:divBdr>
                                <w:top w:val="none" w:sz="0" w:space="0" w:color="auto"/>
                                <w:left w:val="none" w:sz="0" w:space="0" w:color="auto"/>
                                <w:bottom w:val="none" w:sz="0" w:space="0" w:color="auto"/>
                                <w:right w:val="none" w:sz="0" w:space="0" w:color="auto"/>
                              </w:divBdr>
                              <w:divsChild>
                                <w:div w:id="1664553318">
                                  <w:marLeft w:val="0"/>
                                  <w:marRight w:val="0"/>
                                  <w:marTop w:val="0"/>
                                  <w:marBottom w:val="0"/>
                                  <w:divBdr>
                                    <w:top w:val="none" w:sz="0" w:space="0" w:color="auto"/>
                                    <w:left w:val="none" w:sz="0" w:space="0" w:color="auto"/>
                                    <w:bottom w:val="none" w:sz="0" w:space="0" w:color="auto"/>
                                    <w:right w:val="none" w:sz="0" w:space="0" w:color="auto"/>
                                  </w:divBdr>
                                  <w:divsChild>
                                    <w:div w:id="94792354">
                                      <w:marLeft w:val="0"/>
                                      <w:marRight w:val="0"/>
                                      <w:marTop w:val="0"/>
                                      <w:marBottom w:val="0"/>
                                      <w:divBdr>
                                        <w:top w:val="none" w:sz="0" w:space="0" w:color="auto"/>
                                        <w:left w:val="none" w:sz="0" w:space="0" w:color="auto"/>
                                        <w:bottom w:val="none" w:sz="0" w:space="0" w:color="auto"/>
                                        <w:right w:val="none" w:sz="0" w:space="0" w:color="auto"/>
                                      </w:divBdr>
                                      <w:divsChild>
                                        <w:div w:id="1877698406">
                                          <w:marLeft w:val="0"/>
                                          <w:marRight w:val="0"/>
                                          <w:marTop w:val="75"/>
                                          <w:marBottom w:val="0"/>
                                          <w:divBdr>
                                            <w:top w:val="none" w:sz="0" w:space="0" w:color="auto"/>
                                            <w:left w:val="none" w:sz="0" w:space="0" w:color="auto"/>
                                            <w:bottom w:val="none" w:sz="0" w:space="0" w:color="auto"/>
                                            <w:right w:val="none" w:sz="0" w:space="0" w:color="auto"/>
                                          </w:divBdr>
                                          <w:divsChild>
                                            <w:div w:id="1462504448">
                                              <w:marLeft w:val="0"/>
                                              <w:marRight w:val="0"/>
                                              <w:marTop w:val="0"/>
                                              <w:marBottom w:val="0"/>
                                              <w:divBdr>
                                                <w:top w:val="none" w:sz="0" w:space="0" w:color="auto"/>
                                                <w:left w:val="none" w:sz="0" w:space="0" w:color="auto"/>
                                                <w:bottom w:val="none" w:sz="0" w:space="0" w:color="auto"/>
                                                <w:right w:val="none" w:sz="0" w:space="0" w:color="auto"/>
                                              </w:divBdr>
                                              <w:divsChild>
                                                <w:div w:id="305011656">
                                                  <w:marLeft w:val="0"/>
                                                  <w:marRight w:val="0"/>
                                                  <w:marTop w:val="0"/>
                                                  <w:marBottom w:val="0"/>
                                                  <w:divBdr>
                                                    <w:top w:val="none" w:sz="0" w:space="0" w:color="auto"/>
                                                    <w:left w:val="none" w:sz="0" w:space="0" w:color="auto"/>
                                                    <w:bottom w:val="none" w:sz="0" w:space="0" w:color="auto"/>
                                                    <w:right w:val="none" w:sz="0" w:space="0" w:color="auto"/>
                                                  </w:divBdr>
                                                  <w:divsChild>
                                                    <w:div w:id="1085305811">
                                                      <w:marLeft w:val="0"/>
                                                      <w:marRight w:val="0"/>
                                                      <w:marTop w:val="0"/>
                                                      <w:marBottom w:val="0"/>
                                                      <w:divBdr>
                                                        <w:top w:val="none" w:sz="0" w:space="0" w:color="auto"/>
                                                        <w:left w:val="none" w:sz="0" w:space="0" w:color="auto"/>
                                                        <w:bottom w:val="none" w:sz="0" w:space="0" w:color="auto"/>
                                                        <w:right w:val="none" w:sz="0" w:space="0" w:color="auto"/>
                                                      </w:divBdr>
                                                      <w:divsChild>
                                                        <w:div w:id="1202016937">
                                                          <w:marLeft w:val="0"/>
                                                          <w:marRight w:val="0"/>
                                                          <w:marTop w:val="0"/>
                                                          <w:marBottom w:val="0"/>
                                                          <w:divBdr>
                                                            <w:top w:val="none" w:sz="0" w:space="0" w:color="auto"/>
                                                            <w:left w:val="none" w:sz="0" w:space="0" w:color="auto"/>
                                                            <w:bottom w:val="none" w:sz="0" w:space="0" w:color="auto"/>
                                                            <w:right w:val="none" w:sz="0" w:space="0" w:color="auto"/>
                                                          </w:divBdr>
                                                          <w:divsChild>
                                                            <w:div w:id="2112821598">
                                                              <w:marLeft w:val="0"/>
                                                              <w:marRight w:val="0"/>
                                                              <w:marTop w:val="0"/>
                                                              <w:marBottom w:val="0"/>
                                                              <w:divBdr>
                                                                <w:top w:val="none" w:sz="0" w:space="0" w:color="auto"/>
                                                                <w:left w:val="none" w:sz="0" w:space="0" w:color="auto"/>
                                                                <w:bottom w:val="none" w:sz="0" w:space="0" w:color="auto"/>
                                                                <w:right w:val="none" w:sz="0" w:space="0" w:color="auto"/>
                                                              </w:divBdr>
                                                              <w:divsChild>
                                                                <w:div w:id="871302318">
                                                                  <w:marLeft w:val="0"/>
                                                                  <w:marRight w:val="0"/>
                                                                  <w:marTop w:val="0"/>
                                                                  <w:marBottom w:val="0"/>
                                                                  <w:divBdr>
                                                                    <w:top w:val="none" w:sz="0" w:space="0" w:color="auto"/>
                                                                    <w:left w:val="none" w:sz="0" w:space="0" w:color="auto"/>
                                                                    <w:bottom w:val="none" w:sz="0" w:space="0" w:color="auto"/>
                                                                    <w:right w:val="none" w:sz="0" w:space="0" w:color="auto"/>
                                                                  </w:divBdr>
                                                                  <w:divsChild>
                                                                    <w:div w:id="775712871">
                                                                      <w:marLeft w:val="0"/>
                                                                      <w:marRight w:val="0"/>
                                                                      <w:marTop w:val="0"/>
                                                                      <w:marBottom w:val="0"/>
                                                                      <w:divBdr>
                                                                        <w:top w:val="none" w:sz="0" w:space="0" w:color="auto"/>
                                                                        <w:left w:val="none" w:sz="0" w:space="0" w:color="auto"/>
                                                                        <w:bottom w:val="none" w:sz="0" w:space="0" w:color="auto"/>
                                                                        <w:right w:val="none" w:sz="0" w:space="0" w:color="auto"/>
                                                                      </w:divBdr>
                                                                      <w:divsChild>
                                                                        <w:div w:id="1285891206">
                                                                          <w:marLeft w:val="0"/>
                                                                          <w:marRight w:val="0"/>
                                                                          <w:marTop w:val="0"/>
                                                                          <w:marBottom w:val="0"/>
                                                                          <w:divBdr>
                                                                            <w:top w:val="none" w:sz="0" w:space="0" w:color="auto"/>
                                                                            <w:left w:val="none" w:sz="0" w:space="0" w:color="auto"/>
                                                                            <w:bottom w:val="none" w:sz="0" w:space="0" w:color="auto"/>
                                                                            <w:right w:val="none" w:sz="0" w:space="0" w:color="auto"/>
                                                                          </w:divBdr>
                                                                          <w:divsChild>
                                                                            <w:div w:id="1806193995">
                                                                              <w:marLeft w:val="0"/>
                                                                              <w:marRight w:val="0"/>
                                                                              <w:marTop w:val="0"/>
                                                                              <w:marBottom w:val="0"/>
                                                                              <w:divBdr>
                                                                                <w:top w:val="none" w:sz="0" w:space="0" w:color="auto"/>
                                                                                <w:left w:val="none" w:sz="0" w:space="0" w:color="auto"/>
                                                                                <w:bottom w:val="none" w:sz="0" w:space="0" w:color="auto"/>
                                                                                <w:right w:val="none" w:sz="0" w:space="0" w:color="auto"/>
                                                                              </w:divBdr>
                                                                              <w:divsChild>
                                                                                <w:div w:id="2036030954">
                                                                                  <w:marLeft w:val="0"/>
                                                                                  <w:marRight w:val="0"/>
                                                                                  <w:marTop w:val="0"/>
                                                                                  <w:marBottom w:val="0"/>
                                                                                  <w:divBdr>
                                                                                    <w:top w:val="none" w:sz="0" w:space="0" w:color="auto"/>
                                                                                    <w:left w:val="none" w:sz="0" w:space="0" w:color="auto"/>
                                                                                    <w:bottom w:val="none" w:sz="0" w:space="0" w:color="auto"/>
                                                                                    <w:right w:val="none" w:sz="0" w:space="0" w:color="auto"/>
                                                                                  </w:divBdr>
                                                                                  <w:divsChild>
                                                                                    <w:div w:id="218059588">
                                                                                      <w:marLeft w:val="0"/>
                                                                                      <w:marRight w:val="0"/>
                                                                                      <w:marTop w:val="0"/>
                                                                                      <w:marBottom w:val="0"/>
                                                                                      <w:divBdr>
                                                                                        <w:top w:val="none" w:sz="0" w:space="0" w:color="auto"/>
                                                                                        <w:left w:val="none" w:sz="0" w:space="0" w:color="auto"/>
                                                                                        <w:bottom w:val="none" w:sz="0" w:space="0" w:color="auto"/>
                                                                                        <w:right w:val="none" w:sz="0" w:space="0" w:color="auto"/>
                                                                                      </w:divBdr>
                                                                                      <w:divsChild>
                                                                                        <w:div w:id="2013333184">
                                                                                          <w:marLeft w:val="0"/>
                                                                                          <w:marRight w:val="0"/>
                                                                                          <w:marTop w:val="0"/>
                                                                                          <w:marBottom w:val="0"/>
                                                                                          <w:divBdr>
                                                                                            <w:top w:val="none" w:sz="0" w:space="0" w:color="auto"/>
                                                                                            <w:left w:val="none" w:sz="0" w:space="0" w:color="auto"/>
                                                                                            <w:bottom w:val="none" w:sz="0" w:space="0" w:color="auto"/>
                                                                                            <w:right w:val="none" w:sz="0" w:space="0" w:color="auto"/>
                                                                                          </w:divBdr>
                                                                                        </w:div>
                                                                                        <w:div w:id="962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85350427">
      <w:bodyDiv w:val="1"/>
      <w:marLeft w:val="0"/>
      <w:marRight w:val="0"/>
      <w:marTop w:val="0"/>
      <w:marBottom w:val="0"/>
      <w:divBdr>
        <w:top w:val="none" w:sz="0" w:space="0" w:color="auto"/>
        <w:left w:val="none" w:sz="0" w:space="0" w:color="auto"/>
        <w:bottom w:val="none" w:sz="0" w:space="0" w:color="auto"/>
        <w:right w:val="none" w:sz="0" w:space="0" w:color="auto"/>
      </w:divBdr>
    </w:div>
    <w:div w:id="1715737038">
      <w:bodyDiv w:val="1"/>
      <w:marLeft w:val="0"/>
      <w:marRight w:val="0"/>
      <w:marTop w:val="0"/>
      <w:marBottom w:val="0"/>
      <w:divBdr>
        <w:top w:val="none" w:sz="0" w:space="0" w:color="auto"/>
        <w:left w:val="none" w:sz="0" w:space="0" w:color="auto"/>
        <w:bottom w:val="none" w:sz="0" w:space="0" w:color="auto"/>
        <w:right w:val="none" w:sz="0" w:space="0" w:color="auto"/>
      </w:divBdr>
      <w:divsChild>
        <w:div w:id="553199795">
          <w:marLeft w:val="0"/>
          <w:marRight w:val="0"/>
          <w:marTop w:val="0"/>
          <w:marBottom w:val="0"/>
          <w:divBdr>
            <w:top w:val="none" w:sz="0" w:space="0" w:color="auto"/>
            <w:left w:val="none" w:sz="0" w:space="0" w:color="auto"/>
            <w:bottom w:val="none" w:sz="0" w:space="0" w:color="auto"/>
            <w:right w:val="none" w:sz="0" w:space="0" w:color="auto"/>
          </w:divBdr>
          <w:divsChild>
            <w:div w:id="421874584">
              <w:marLeft w:val="0"/>
              <w:marRight w:val="0"/>
              <w:marTop w:val="0"/>
              <w:marBottom w:val="0"/>
              <w:divBdr>
                <w:top w:val="none" w:sz="0" w:space="0" w:color="auto"/>
                <w:left w:val="none" w:sz="0" w:space="0" w:color="auto"/>
                <w:bottom w:val="none" w:sz="0" w:space="0" w:color="auto"/>
                <w:right w:val="none" w:sz="0" w:space="0" w:color="auto"/>
              </w:divBdr>
            </w:div>
            <w:div w:id="592786441">
              <w:marLeft w:val="0"/>
              <w:marRight w:val="0"/>
              <w:marTop w:val="0"/>
              <w:marBottom w:val="0"/>
              <w:divBdr>
                <w:top w:val="none" w:sz="0" w:space="0" w:color="auto"/>
                <w:left w:val="none" w:sz="0" w:space="0" w:color="auto"/>
                <w:bottom w:val="none" w:sz="0" w:space="0" w:color="auto"/>
                <w:right w:val="none" w:sz="0" w:space="0" w:color="auto"/>
              </w:divBdr>
            </w:div>
            <w:div w:id="1638031529">
              <w:marLeft w:val="0"/>
              <w:marRight w:val="0"/>
              <w:marTop w:val="0"/>
              <w:marBottom w:val="0"/>
              <w:divBdr>
                <w:top w:val="none" w:sz="0" w:space="0" w:color="auto"/>
                <w:left w:val="none" w:sz="0" w:space="0" w:color="auto"/>
                <w:bottom w:val="none" w:sz="0" w:space="0" w:color="auto"/>
                <w:right w:val="none" w:sz="0" w:space="0" w:color="auto"/>
              </w:divBdr>
            </w:div>
            <w:div w:id="1481117117">
              <w:marLeft w:val="0"/>
              <w:marRight w:val="0"/>
              <w:marTop w:val="0"/>
              <w:marBottom w:val="0"/>
              <w:divBdr>
                <w:top w:val="none" w:sz="0" w:space="0" w:color="auto"/>
                <w:left w:val="none" w:sz="0" w:space="0" w:color="auto"/>
                <w:bottom w:val="none" w:sz="0" w:space="0" w:color="auto"/>
                <w:right w:val="none" w:sz="0" w:space="0" w:color="auto"/>
              </w:divBdr>
            </w:div>
            <w:div w:id="326522332">
              <w:marLeft w:val="0"/>
              <w:marRight w:val="0"/>
              <w:marTop w:val="0"/>
              <w:marBottom w:val="0"/>
              <w:divBdr>
                <w:top w:val="none" w:sz="0" w:space="0" w:color="auto"/>
                <w:left w:val="none" w:sz="0" w:space="0" w:color="auto"/>
                <w:bottom w:val="none" w:sz="0" w:space="0" w:color="auto"/>
                <w:right w:val="none" w:sz="0" w:space="0" w:color="auto"/>
              </w:divBdr>
            </w:div>
            <w:div w:id="1397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tas-solutions.com/webcenter/portal/MedicareJH/FeeLookup"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files/document/mm13094-supervision-requirements-diagnostic-tests-manual-update.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novitas-solutions.com/webcenter/portal/MedicareJL/FeeLook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55360-6C2D-40E5-83ED-7F52CD91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60A56B-6EE0-45F2-9B1A-B090BE3D5A4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F2D30EE-369E-4E9B-AE17-FF5723930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Plevyak, Brad</dc:creator>
  <cp:lastModifiedBy>Keefer, Felecia</cp:lastModifiedBy>
  <cp:revision>2</cp:revision>
  <cp:lastPrinted>2013-08-22T18:47:00Z</cp:lastPrinted>
  <dcterms:created xsi:type="dcterms:W3CDTF">2023-05-15T18:59:00Z</dcterms:created>
  <dcterms:modified xsi:type="dcterms:W3CDTF">2023-05-15T18:59:00Z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