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429A7" w14:textId="0AE7C191" w:rsidR="00682AA1" w:rsidRPr="00E14C9C" w:rsidRDefault="008779BD" w:rsidP="00E14C9C">
      <w:pPr>
        <w:pStyle w:val="webheader"/>
      </w:pPr>
      <w:bookmarkStart w:id="0" w:name="mainContent"/>
      <w:r>
        <w:t>Patient e</w:t>
      </w:r>
      <w:r w:rsidR="007765E7" w:rsidRPr="00E14C9C">
        <w:t>ligibility</w:t>
      </w:r>
      <w:bookmarkEnd w:id="0"/>
    </w:p>
    <w:p w14:paraId="72B8D367" w14:textId="1C5C1A8B" w:rsidR="00E16D11" w:rsidRDefault="003A29AD" w:rsidP="003A29AD">
      <w:pPr>
        <w:pStyle w:val="webimage"/>
      </w:pPr>
      <w:bookmarkStart w:id="1" w:name="1"/>
      <w:r>
        <w:rPr>
          <w:noProof/>
        </w:rPr>
        <w:drawing>
          <wp:inline distT="0" distB="0" distL="0" distR="0" wp14:anchorId="1472F6AE" wp14:editId="30547331">
            <wp:extent cx="5972175" cy="2162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igibility-novitasphere-adborder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882BC" w14:textId="3B8CAEF3" w:rsidR="005744A7" w:rsidRDefault="005744A7" w:rsidP="005744A7">
      <w:pPr>
        <w:pStyle w:val="webbullet1"/>
      </w:pPr>
      <w:hyperlink r:id="rId9" w:history="1">
        <w:r w:rsidRPr="003A29AD">
          <w:rPr>
            <w:rStyle w:val="Hyperlink"/>
          </w:rPr>
          <w:t>Visit the Novitasphere Center and enroll for Jurisdiction L</w:t>
        </w:r>
      </w:hyperlink>
    </w:p>
    <w:p w14:paraId="5E194E96" w14:textId="4B23AA4F" w:rsidR="005744A7" w:rsidRPr="005744A7" w:rsidRDefault="005744A7" w:rsidP="005744A7">
      <w:pPr>
        <w:pStyle w:val="webbullet1"/>
      </w:pPr>
      <w:hyperlink r:id="rId10" w:history="1">
        <w:r w:rsidRPr="003A29AD">
          <w:rPr>
            <w:rStyle w:val="Hyperlink"/>
          </w:rPr>
          <w:t>Visit the Novitasphere Center and enroll for Jurisdiction H</w:t>
        </w:r>
      </w:hyperlink>
    </w:p>
    <w:p w14:paraId="207429A9" w14:textId="15B2DBB6" w:rsidR="007765E7" w:rsidRPr="007765E7" w:rsidRDefault="00DA1844" w:rsidP="00E16D11">
      <w:pPr>
        <w:pStyle w:val="webheader2"/>
      </w:pPr>
      <w:r>
        <w:t>Medicare e</w:t>
      </w:r>
      <w:r w:rsidR="007765E7" w:rsidRPr="007765E7">
        <w:t>ntitlement</w:t>
      </w:r>
      <w:bookmarkEnd w:id="1"/>
    </w:p>
    <w:p w14:paraId="207429AA" w14:textId="26A30C25" w:rsidR="007765E7" w:rsidRPr="007765E7" w:rsidRDefault="007765E7" w:rsidP="004F0BFE">
      <w:pPr>
        <w:pStyle w:val="webnormal"/>
      </w:pPr>
      <w:r w:rsidRPr="007765E7">
        <w:t xml:space="preserve">Medicare is a Health Insurance Program for people age 65 or older, </w:t>
      </w:r>
      <w:r w:rsidR="00AB1ECF">
        <w:t>certain</w:t>
      </w:r>
      <w:r w:rsidRPr="007765E7">
        <w:t xml:space="preserve"> </w:t>
      </w:r>
      <w:r w:rsidR="00AB1ECF">
        <w:t xml:space="preserve">qualified </w:t>
      </w:r>
      <w:r w:rsidRPr="007765E7">
        <w:t xml:space="preserve">disabled people under age 65, and people of all ages with </w:t>
      </w:r>
      <w:r w:rsidR="00D64B9B">
        <w:t>end-stage r</w:t>
      </w:r>
      <w:r w:rsidR="00E14C9C" w:rsidRPr="004F0BFE">
        <w:t xml:space="preserve">enal </w:t>
      </w:r>
      <w:r w:rsidR="00D64B9B">
        <w:t>d</w:t>
      </w:r>
      <w:r w:rsidR="005029C2" w:rsidRPr="004F0BFE">
        <w:t>isease (</w:t>
      </w:r>
      <w:r w:rsidR="004F0BFE" w:rsidRPr="004F0BFE">
        <w:t>ESRD)</w:t>
      </w:r>
      <w:r w:rsidR="00AB1ECF" w:rsidRPr="004F0BFE">
        <w:t xml:space="preserve"> </w:t>
      </w:r>
      <w:r w:rsidRPr="004F0BFE">
        <w:t>(permanent kidney failure treated with dialysis or a transplant)</w:t>
      </w:r>
      <w:r w:rsidRPr="00E14C9C">
        <w:rPr>
          <w:rStyle w:val="webitalics"/>
        </w:rPr>
        <w:t>.</w:t>
      </w:r>
      <w:r w:rsidR="00AB1ECF">
        <w:t xml:space="preserve"> </w:t>
      </w:r>
      <w:r w:rsidRPr="007765E7">
        <w:t xml:space="preserve">For the official site </w:t>
      </w:r>
      <w:r w:rsidRPr="004F0BFE">
        <w:t>for</w:t>
      </w:r>
      <w:r w:rsidRPr="007765E7">
        <w:t xml:space="preserve"> people </w:t>
      </w:r>
      <w:r w:rsidR="00AB1ECF">
        <w:t>who</w:t>
      </w:r>
      <w:r w:rsidRPr="007765E7">
        <w:t xml:space="preserve"> qualify for Medicare, visit </w:t>
      </w:r>
      <w:hyperlink r:id="rId11" w:history="1">
        <w:r w:rsidR="00A2242F">
          <w:rPr>
            <w:rStyle w:val="Hyperlink"/>
          </w:rPr>
          <w:t>Medicare.g</w:t>
        </w:r>
        <w:r w:rsidR="00AB1ECF" w:rsidRPr="00AB1ECF">
          <w:rPr>
            <w:rStyle w:val="Hyperlink"/>
          </w:rPr>
          <w:t>ov</w:t>
        </w:r>
      </w:hyperlink>
      <w:r w:rsidR="00AB1ECF">
        <w:t xml:space="preserve">. For further information, </w:t>
      </w:r>
      <w:r w:rsidRPr="007765E7">
        <w:t xml:space="preserve">access the </w:t>
      </w:r>
      <w:r w:rsidR="001B0ED7">
        <w:t>links</w:t>
      </w:r>
      <w:r w:rsidRPr="007765E7">
        <w:t xml:space="preserve"> listed below</w:t>
      </w:r>
      <w:r w:rsidR="00AB1ECF">
        <w:t>.</w:t>
      </w:r>
    </w:p>
    <w:p w14:paraId="207429AB" w14:textId="0AF093C7" w:rsidR="007765E7" w:rsidRPr="00E14C9C" w:rsidRDefault="00E14C9C" w:rsidP="00AB1ECF">
      <w:pPr>
        <w:pStyle w:val="webbullet1"/>
        <w:rPr>
          <w:rStyle w:val="Hyperlink"/>
        </w:rPr>
      </w:pPr>
      <w:r>
        <w:fldChar w:fldCharType="begin"/>
      </w:r>
      <w:r>
        <w:instrText xml:space="preserve"> HYPERLINK "https://www.cms.gov/Medicare/Medicare-General-Information/MedicareGenInfo/index.html" </w:instrText>
      </w:r>
      <w:r>
        <w:fldChar w:fldCharType="separate"/>
      </w:r>
      <w:r w:rsidR="007765E7" w:rsidRPr="00E14C9C">
        <w:rPr>
          <w:rStyle w:val="Hyperlink"/>
        </w:rPr>
        <w:t xml:space="preserve">Persons 65 and older, disabled or </w:t>
      </w:r>
      <w:r w:rsidR="00AB1ECF" w:rsidRPr="00E14C9C">
        <w:rPr>
          <w:rStyle w:val="Hyperlink"/>
        </w:rPr>
        <w:t>ESRD</w:t>
      </w:r>
      <w:r w:rsidR="007765E7" w:rsidRPr="00E14C9C">
        <w:rPr>
          <w:rStyle w:val="Hyperlink"/>
        </w:rPr>
        <w:t> </w:t>
      </w:r>
    </w:p>
    <w:p w14:paraId="207429AC" w14:textId="0FFDA3FB" w:rsidR="00AB1ECF" w:rsidRPr="001E4F80" w:rsidRDefault="00E14C9C" w:rsidP="00AB1ECF">
      <w:pPr>
        <w:pStyle w:val="webbullet1"/>
      </w:pPr>
      <w:r>
        <w:fldChar w:fldCharType="end"/>
      </w:r>
      <w:hyperlink r:id="rId12" w:history="1">
        <w:r w:rsidR="007765E7" w:rsidRPr="001E4F80">
          <w:rPr>
            <w:rStyle w:val="Hyperlink"/>
          </w:rPr>
          <w:t>Premiums, deductible and coinsurance rates</w:t>
        </w:r>
      </w:hyperlink>
      <w:r w:rsidR="007765E7" w:rsidRPr="001E4F80">
        <w:t xml:space="preserve"> </w:t>
      </w:r>
    </w:p>
    <w:p w14:paraId="207429AD" w14:textId="4E7FDB50" w:rsidR="007765E7" w:rsidRPr="007765E7" w:rsidRDefault="008779BD" w:rsidP="00AB1ECF">
      <w:pPr>
        <w:pStyle w:val="webbullet1"/>
      </w:pPr>
      <w:hyperlink r:id="rId13" w:history="1">
        <w:r>
          <w:rPr>
            <w:rStyle w:val="Hyperlink"/>
          </w:rPr>
          <w:t>Beneficiary right to itemized statement for Medicare items and s</w:t>
        </w:r>
        <w:r w:rsidR="007765E7" w:rsidRPr="001B0ED7">
          <w:rPr>
            <w:rStyle w:val="Hyperlink"/>
          </w:rPr>
          <w:t>ervices</w:t>
        </w:r>
      </w:hyperlink>
      <w:r w:rsidR="00E14C9C">
        <w:t xml:space="preserve"> </w:t>
      </w:r>
    </w:p>
    <w:p w14:paraId="207429AF" w14:textId="7A29138E" w:rsidR="007765E7" w:rsidRPr="007765E7" w:rsidRDefault="00DA1844" w:rsidP="00E16D11">
      <w:pPr>
        <w:pStyle w:val="webheader2"/>
      </w:pPr>
      <w:bookmarkStart w:id="2" w:name="2"/>
      <w:r>
        <w:t>Special s</w:t>
      </w:r>
      <w:r w:rsidR="007765E7" w:rsidRPr="007765E7">
        <w:t>ituations</w:t>
      </w:r>
      <w:bookmarkEnd w:id="2"/>
    </w:p>
    <w:p w14:paraId="207429B0" w14:textId="77777777" w:rsidR="007765E7" w:rsidRPr="007765E7" w:rsidRDefault="007765E7" w:rsidP="007765E7">
      <w:pPr>
        <w:pStyle w:val="webnormal"/>
      </w:pPr>
      <w:r w:rsidRPr="007765E7">
        <w:t>Beneficiaries may be entitled to special medical coverage.</w:t>
      </w:r>
      <w:r w:rsidR="00AB1ECF">
        <w:t xml:space="preserve"> </w:t>
      </w:r>
      <w:r w:rsidR="001B0ED7">
        <w:t>For further information, r</w:t>
      </w:r>
      <w:r w:rsidRPr="007765E7">
        <w:t xml:space="preserve">efer to the </w:t>
      </w:r>
      <w:r w:rsidR="001B0ED7">
        <w:t>links</w:t>
      </w:r>
      <w:r w:rsidRPr="007765E7">
        <w:t xml:space="preserve"> listed below.</w:t>
      </w:r>
    </w:p>
    <w:p w14:paraId="207429B1" w14:textId="5E54D970" w:rsidR="007765E7" w:rsidRPr="007765E7" w:rsidRDefault="007765E7" w:rsidP="001B0ED7">
      <w:pPr>
        <w:pStyle w:val="webbullet1"/>
      </w:pPr>
      <w:hyperlink r:id="rId14" w:history="1">
        <w:r w:rsidRPr="001B0ED7">
          <w:rPr>
            <w:rStyle w:val="Hyperlink"/>
          </w:rPr>
          <w:t>Railroad Retirees</w:t>
        </w:r>
      </w:hyperlink>
      <w:r w:rsidR="00E14C9C">
        <w:t xml:space="preserve"> </w:t>
      </w:r>
    </w:p>
    <w:p w14:paraId="207429B2" w14:textId="1A48B1D4" w:rsidR="007765E7" w:rsidRPr="007765E7" w:rsidRDefault="007765E7" w:rsidP="001B0ED7">
      <w:pPr>
        <w:pStyle w:val="webbullet1"/>
      </w:pPr>
      <w:hyperlink r:id="rId15" w:history="1">
        <w:r w:rsidRPr="001B0ED7">
          <w:rPr>
            <w:rStyle w:val="Hyperlink"/>
          </w:rPr>
          <w:t>United Mine Workers</w:t>
        </w:r>
      </w:hyperlink>
      <w:r w:rsidRPr="007765E7">
        <w:t> </w:t>
      </w:r>
    </w:p>
    <w:p w14:paraId="207429B3" w14:textId="14CBD4F2" w:rsidR="007765E7" w:rsidRPr="007765E7" w:rsidRDefault="007765E7" w:rsidP="001B0ED7">
      <w:pPr>
        <w:pStyle w:val="webbullet1"/>
      </w:pPr>
      <w:hyperlink r:id="rId16" w:history="1">
        <w:r w:rsidRPr="001B0ED7">
          <w:rPr>
            <w:rStyle w:val="Hyperlink"/>
          </w:rPr>
          <w:t>Medicaid</w:t>
        </w:r>
      </w:hyperlink>
      <w:r w:rsidRPr="007765E7">
        <w:t xml:space="preserve"> </w:t>
      </w:r>
    </w:p>
    <w:p w14:paraId="207429B5" w14:textId="77777777" w:rsidR="007765E7" w:rsidRPr="007765E7" w:rsidRDefault="007765E7" w:rsidP="00E16D11">
      <w:pPr>
        <w:pStyle w:val="webheader2"/>
      </w:pPr>
      <w:bookmarkStart w:id="3" w:name="3"/>
      <w:r w:rsidRPr="007765E7">
        <w:t>Medicare Advantage</w:t>
      </w:r>
      <w:bookmarkEnd w:id="3"/>
    </w:p>
    <w:p w14:paraId="207429B6" w14:textId="5FA96F09" w:rsidR="007765E7" w:rsidRPr="007765E7" w:rsidRDefault="007765E7" w:rsidP="004F0BFE">
      <w:pPr>
        <w:pStyle w:val="webnormal"/>
      </w:pPr>
      <w:r w:rsidRPr="007765E7">
        <w:t xml:space="preserve">Besides </w:t>
      </w:r>
      <w:r w:rsidR="001B0ED7">
        <w:t>traditional</w:t>
      </w:r>
      <w:r w:rsidRPr="007765E7">
        <w:t xml:space="preserve"> Medicare, Congress created Medicare Advantage</w:t>
      </w:r>
      <w:r w:rsidR="00DA1844">
        <w:t xml:space="preserve"> (MA)</w:t>
      </w:r>
      <w:r w:rsidRPr="007765E7">
        <w:t xml:space="preserve"> to let more private insurance companies offer coverage to people with Medicare, giving them more choices.</w:t>
      </w:r>
      <w:r w:rsidR="00AB1ECF">
        <w:t xml:space="preserve"> </w:t>
      </w:r>
      <w:r w:rsidRPr="007765E7">
        <w:t>M</w:t>
      </w:r>
      <w:r w:rsidR="00DA1844">
        <w:t>A p</w:t>
      </w:r>
      <w:r w:rsidRPr="007765E7">
        <w:t xml:space="preserve">lans </w:t>
      </w:r>
      <w:r w:rsidRPr="004F0BFE">
        <w:t>(sometimes called Part C)</w:t>
      </w:r>
      <w:r w:rsidRPr="007765E7">
        <w:t xml:space="preserve"> and other Medicare plans are health plan options that provide both Part A and Part B benefits.</w:t>
      </w:r>
      <w:r w:rsidR="00AB1ECF">
        <w:t xml:space="preserve"> </w:t>
      </w:r>
      <w:r w:rsidR="00DA1844" w:rsidRPr="00F7100E">
        <w:t>MA Plans</w:t>
      </w:r>
      <w:r w:rsidR="00E14C9C">
        <w:t xml:space="preserve"> </w:t>
      </w:r>
      <w:r w:rsidRPr="007765E7">
        <w:t>include:</w:t>
      </w:r>
      <w:r w:rsidR="00AB1ECF">
        <w:t xml:space="preserve"> </w:t>
      </w:r>
    </w:p>
    <w:p w14:paraId="207429B7" w14:textId="799C1692" w:rsidR="007765E7" w:rsidRPr="004F0BFE" w:rsidRDefault="007765E7" w:rsidP="004F0BFE">
      <w:pPr>
        <w:pStyle w:val="webbullet1"/>
      </w:pPr>
      <w:r w:rsidRPr="004F0BFE">
        <w:t xml:space="preserve">Medicare Health </w:t>
      </w:r>
      <w:r w:rsidR="00E14C9C" w:rsidRPr="004F0BFE">
        <w:t>Maintenance Organization</w:t>
      </w:r>
      <w:r w:rsidR="004F0BFE" w:rsidRPr="004F0BFE">
        <w:t>s</w:t>
      </w:r>
    </w:p>
    <w:p w14:paraId="207429B8" w14:textId="455AC633" w:rsidR="007765E7" w:rsidRPr="004F0BFE" w:rsidRDefault="007765E7" w:rsidP="004F0BFE">
      <w:pPr>
        <w:pStyle w:val="webbullet1"/>
      </w:pPr>
      <w:r w:rsidRPr="004F0BFE">
        <w:t>Preferr</w:t>
      </w:r>
      <w:r w:rsidR="00BC3003" w:rsidRPr="004F0BFE">
        <w:t>ed</w:t>
      </w:r>
      <w:r w:rsidR="00E14C9C" w:rsidRPr="004F0BFE">
        <w:t xml:space="preserve"> Provider Organizations</w:t>
      </w:r>
    </w:p>
    <w:p w14:paraId="207429B9" w14:textId="2EF920B8" w:rsidR="007765E7" w:rsidRPr="004F0BFE" w:rsidRDefault="00E14C9C" w:rsidP="004F0BFE">
      <w:pPr>
        <w:pStyle w:val="webbullet1"/>
      </w:pPr>
      <w:r w:rsidRPr="004F0BFE">
        <w:t>Private Fee-for-Service Plans</w:t>
      </w:r>
      <w:r w:rsidR="007765E7" w:rsidRPr="004F0BFE">
        <w:t xml:space="preserve"> </w:t>
      </w:r>
    </w:p>
    <w:p w14:paraId="207429BA" w14:textId="23B44E4E" w:rsidR="007765E7" w:rsidRPr="004F0BFE" w:rsidRDefault="007765E7" w:rsidP="004F0BFE">
      <w:pPr>
        <w:pStyle w:val="webbullet1"/>
      </w:pPr>
      <w:r w:rsidRPr="004F0BFE">
        <w:t>Medicare Medi</w:t>
      </w:r>
      <w:r w:rsidR="00E14C9C" w:rsidRPr="004F0BFE">
        <w:t>cal Savings Account</w:t>
      </w:r>
      <w:r w:rsidR="00BC3003" w:rsidRPr="004F0BFE">
        <w:t xml:space="preserve"> Plans</w:t>
      </w:r>
    </w:p>
    <w:p w14:paraId="207429BB" w14:textId="77777777" w:rsidR="007765E7" w:rsidRPr="004F0BFE" w:rsidRDefault="00BC3003" w:rsidP="004F0BFE">
      <w:pPr>
        <w:pStyle w:val="webbullet1"/>
      </w:pPr>
      <w:r w:rsidRPr="004F0BFE">
        <w:t>Medicare Special Needs Plans</w:t>
      </w:r>
    </w:p>
    <w:p w14:paraId="244CE6A2" w14:textId="25F8C4B1" w:rsidR="007410FC" w:rsidRPr="007765E7" w:rsidRDefault="007410FC" w:rsidP="007410FC">
      <w:pPr>
        <w:pStyle w:val="webnormal"/>
      </w:pPr>
      <w:hyperlink r:id="rId17" w:history="1">
        <w:r w:rsidRPr="007410FC">
          <w:rPr>
            <w:rStyle w:val="Hyperlink"/>
          </w:rPr>
          <w:t>MA Plan Directory</w:t>
        </w:r>
      </w:hyperlink>
      <w:r w:rsidR="00E14C9C">
        <w:t xml:space="preserve"> </w:t>
      </w:r>
    </w:p>
    <w:p w14:paraId="207429BD" w14:textId="013C16D6" w:rsidR="007765E7" w:rsidRPr="007765E7" w:rsidRDefault="00A2242F" w:rsidP="00E16D11">
      <w:pPr>
        <w:pStyle w:val="webheader2"/>
      </w:pPr>
      <w:bookmarkStart w:id="4" w:name="4"/>
      <w:r>
        <w:lastRenderedPageBreak/>
        <w:t>Hospice c</w:t>
      </w:r>
      <w:r w:rsidR="007765E7" w:rsidRPr="007765E7">
        <w:t>are</w:t>
      </w:r>
      <w:bookmarkEnd w:id="4"/>
    </w:p>
    <w:p w14:paraId="207429BE" w14:textId="77777777" w:rsidR="007765E7" w:rsidRPr="007765E7" w:rsidRDefault="007765E7" w:rsidP="007765E7">
      <w:pPr>
        <w:pStyle w:val="webnormal"/>
      </w:pPr>
      <w:r w:rsidRPr="007765E7">
        <w:t xml:space="preserve">Beneficiaries who have a terminal illness with a life expectancy of six months or less have the option of electing hospice coverage </w:t>
      </w:r>
      <w:r w:rsidR="00927EB1">
        <w:t>in place of</w:t>
      </w:r>
      <w:r w:rsidRPr="007765E7">
        <w:t xml:space="preserve"> </w:t>
      </w:r>
      <w:r w:rsidR="00BC3003">
        <w:t>the standard Medicare coverage.</w:t>
      </w:r>
    </w:p>
    <w:p w14:paraId="207429BF" w14:textId="1BCEE0CF" w:rsidR="007765E7" w:rsidRPr="007765E7" w:rsidRDefault="00A2242F" w:rsidP="007765E7">
      <w:pPr>
        <w:pStyle w:val="webnormal"/>
      </w:pPr>
      <w:r>
        <w:t>Hospice reporting g</w:t>
      </w:r>
      <w:r w:rsidR="007765E7" w:rsidRPr="007765E7">
        <w:t>uidelines</w:t>
      </w:r>
      <w:r w:rsidR="00927EB1">
        <w:t>:</w:t>
      </w:r>
    </w:p>
    <w:p w14:paraId="207429C0" w14:textId="77777777" w:rsidR="00927EB1" w:rsidRDefault="007765E7" w:rsidP="00927EB1">
      <w:pPr>
        <w:pStyle w:val="webbullet1"/>
      </w:pPr>
      <w:r w:rsidRPr="00927EB1">
        <w:rPr>
          <w:rStyle w:val="webbold"/>
        </w:rPr>
        <w:t>Modifier GV</w:t>
      </w:r>
      <w:r w:rsidRPr="007765E7">
        <w:t>:</w:t>
      </w:r>
      <w:r w:rsidR="00AB1ECF">
        <w:t xml:space="preserve"> </w:t>
      </w:r>
      <w:r w:rsidR="00927EB1" w:rsidRPr="00927EB1">
        <w:t>"Attending physician is not employed or paid under agreement by the patient's hospice provider"</w:t>
      </w:r>
      <w:r w:rsidR="00BC3003">
        <w:t>.</w:t>
      </w:r>
    </w:p>
    <w:p w14:paraId="207429C1" w14:textId="77777777" w:rsidR="007765E7" w:rsidRPr="007765E7" w:rsidRDefault="007765E7" w:rsidP="00927EB1">
      <w:pPr>
        <w:pStyle w:val="webbullet2"/>
      </w:pPr>
      <w:r w:rsidRPr="007765E7">
        <w:t xml:space="preserve">Services billed by the attending physician, who are not employed by the hospice, must </w:t>
      </w:r>
      <w:r w:rsidR="00927EB1">
        <w:t>report</w:t>
      </w:r>
      <w:r w:rsidRPr="007765E7">
        <w:t xml:space="preserve"> </w:t>
      </w:r>
      <w:r w:rsidR="00927EB1">
        <w:t>this modifier or the claim will deny.</w:t>
      </w:r>
    </w:p>
    <w:p w14:paraId="207429C2" w14:textId="77777777" w:rsidR="00927EB1" w:rsidRDefault="007765E7" w:rsidP="00927EB1">
      <w:pPr>
        <w:pStyle w:val="webbullet1"/>
      </w:pPr>
      <w:r w:rsidRPr="00927EB1">
        <w:rPr>
          <w:rStyle w:val="webbold"/>
        </w:rPr>
        <w:t>Modifier GW</w:t>
      </w:r>
      <w:r w:rsidRPr="007765E7">
        <w:t xml:space="preserve">: </w:t>
      </w:r>
      <w:r w:rsidR="00927EB1" w:rsidRPr="00927EB1">
        <w:t>"Service not related to the hospice patient's terminal condition"</w:t>
      </w:r>
      <w:r w:rsidR="00927EB1">
        <w:t>.</w:t>
      </w:r>
    </w:p>
    <w:p w14:paraId="207429C3" w14:textId="77777777" w:rsidR="00927EB1" w:rsidRDefault="007765E7" w:rsidP="00927EB1">
      <w:pPr>
        <w:pStyle w:val="webbullet2"/>
      </w:pPr>
      <w:r w:rsidRPr="007765E7">
        <w:t xml:space="preserve">Services submitted that are not related to the </w:t>
      </w:r>
      <w:r w:rsidR="00927EB1">
        <w:t>patient's</w:t>
      </w:r>
      <w:r w:rsidRPr="007765E7">
        <w:t xml:space="preserve"> terminal condition must </w:t>
      </w:r>
      <w:r w:rsidR="00927EB1">
        <w:t xml:space="preserve">report this </w:t>
      </w:r>
      <w:r w:rsidRPr="007765E7">
        <w:t>modifier or the claim will deny.</w:t>
      </w:r>
    </w:p>
    <w:p w14:paraId="207429C4" w14:textId="77777777" w:rsidR="007765E7" w:rsidRDefault="007765E7" w:rsidP="00682AA1">
      <w:pPr>
        <w:pStyle w:val="webbullet1"/>
      </w:pPr>
      <w:r w:rsidRPr="00927EB1">
        <w:rPr>
          <w:rStyle w:val="webbold"/>
        </w:rPr>
        <w:t>Condition code 07</w:t>
      </w:r>
      <w:r w:rsidRPr="007765E7">
        <w:t>:</w:t>
      </w:r>
      <w:r w:rsidR="00AB1ECF">
        <w:t xml:space="preserve"> </w:t>
      </w:r>
      <w:r w:rsidRPr="007765E7">
        <w:t>Institutional claims must contain the condition code 07 when the service</w:t>
      </w:r>
      <w:r w:rsidRPr="00E14C9C">
        <w:rPr>
          <w:rStyle w:val="webitalics"/>
        </w:rPr>
        <w:t>(s)</w:t>
      </w:r>
      <w:r w:rsidRPr="007765E7">
        <w:t xml:space="preserve"> is unrelated to t</w:t>
      </w:r>
      <w:r w:rsidR="00BC3003">
        <w:t>he patient’s hospice condition.</w:t>
      </w:r>
    </w:p>
    <w:p w14:paraId="207429C5" w14:textId="6D21F11E" w:rsidR="00927EB1" w:rsidRPr="007765E7" w:rsidRDefault="00927EB1" w:rsidP="004F0BFE">
      <w:pPr>
        <w:pStyle w:val="webnormal"/>
      </w:pPr>
      <w:r w:rsidRPr="00927EB1">
        <w:rPr>
          <w:rStyle w:val="webbold"/>
        </w:rPr>
        <w:t>Note:</w:t>
      </w:r>
      <w:r w:rsidRPr="00927EB1">
        <w:t xml:space="preserve"> Traditional Medicare pays for medically necessary non-hospice services </w:t>
      </w:r>
      <w:r w:rsidRPr="004F0BFE">
        <w:t xml:space="preserve">(i.e., services billed with the GV or GW modifier) </w:t>
      </w:r>
      <w:r w:rsidRPr="00927EB1">
        <w:t xml:space="preserve">for </w:t>
      </w:r>
      <w:r w:rsidR="00C53A6B">
        <w:t xml:space="preserve">MA </w:t>
      </w:r>
      <w:r w:rsidRPr="00927EB1">
        <w:t>enrollees who elect hospice coverage based on applicable Medicare Part B payment and deductible rules.</w:t>
      </w:r>
    </w:p>
    <w:p w14:paraId="207429C6" w14:textId="77777777" w:rsidR="00927EB1" w:rsidRDefault="00927EB1" w:rsidP="007765E7">
      <w:pPr>
        <w:pStyle w:val="webnormal"/>
      </w:pPr>
      <w:r>
        <w:t>For further information, refer to the links listed below.</w:t>
      </w:r>
    </w:p>
    <w:p w14:paraId="207429C7" w14:textId="40DC7212" w:rsidR="007765E7" w:rsidRPr="007765E7" w:rsidRDefault="007765E7" w:rsidP="00927EB1">
      <w:pPr>
        <w:pStyle w:val="webbullet1"/>
      </w:pPr>
      <w:hyperlink r:id="rId18" w:history="1">
        <w:r w:rsidRPr="00BC3003">
          <w:rPr>
            <w:rStyle w:val="Hyperlink"/>
          </w:rPr>
          <w:t>Hospice Overview</w:t>
        </w:r>
      </w:hyperlink>
    </w:p>
    <w:p w14:paraId="207429C8" w14:textId="6DF11E4E" w:rsidR="007765E7" w:rsidRPr="007765E7" w:rsidRDefault="008779BD" w:rsidP="00927EB1">
      <w:pPr>
        <w:pStyle w:val="webbullet1"/>
      </w:pPr>
      <w:hyperlink r:id="rId19" w:history="1">
        <w:r>
          <w:rPr>
            <w:rStyle w:val="Hyperlink"/>
          </w:rPr>
          <w:t>Hospice Center</w:t>
        </w:r>
      </w:hyperlink>
      <w:r w:rsidR="00927EB1">
        <w:rPr>
          <w:rStyle w:val="Hyperlink"/>
        </w:rPr>
        <w:t xml:space="preserve"> </w:t>
      </w:r>
    </w:p>
    <w:p w14:paraId="207429C9" w14:textId="69957C3C" w:rsidR="00927EB1" w:rsidRDefault="00A2242F" w:rsidP="00927EB1">
      <w:pPr>
        <w:pStyle w:val="webbullet1"/>
      </w:pPr>
      <w:hyperlink r:id="rId20" w:history="1">
        <w:r>
          <w:rPr>
            <w:rStyle w:val="Hyperlink"/>
          </w:rPr>
          <w:t>Centers for Medicare &amp; Medicaid Services (CMS) Internet-Only Manual (IOM), Publication 100-02, Benefit Policy Manual, Chapter 9</w:t>
        </w:r>
      </w:hyperlink>
    </w:p>
    <w:p w14:paraId="207429CA" w14:textId="0A11D3EB" w:rsidR="007765E7" w:rsidRPr="007765E7" w:rsidRDefault="00A2242F" w:rsidP="00927EB1">
      <w:pPr>
        <w:pStyle w:val="webbullet1"/>
      </w:pPr>
      <w:hyperlink r:id="rId21" w:history="1">
        <w:r>
          <w:rPr>
            <w:rStyle w:val="Hyperlink"/>
          </w:rPr>
          <w:t>CMS IOM Publication 100-04, Claims Processing Manual, Chapter 11</w:t>
        </w:r>
      </w:hyperlink>
      <w:r w:rsidR="00E14C9C">
        <w:t xml:space="preserve"> </w:t>
      </w:r>
    </w:p>
    <w:p w14:paraId="207429CC" w14:textId="77777777" w:rsidR="007765E7" w:rsidRPr="007765E7" w:rsidRDefault="007765E7" w:rsidP="00E16D11">
      <w:pPr>
        <w:pStyle w:val="webheader2"/>
      </w:pPr>
      <w:bookmarkStart w:id="5" w:name="5"/>
      <w:r w:rsidRPr="007765E7">
        <w:t>Common Working File</w:t>
      </w:r>
      <w:bookmarkEnd w:id="5"/>
    </w:p>
    <w:p w14:paraId="207429CD" w14:textId="0F0042C4" w:rsidR="007765E7" w:rsidRPr="007765E7" w:rsidRDefault="00E14C9C" w:rsidP="004F0BFE">
      <w:pPr>
        <w:pStyle w:val="webnormal"/>
      </w:pPr>
      <w:r w:rsidRPr="004F0BFE">
        <w:t>Common Working File</w:t>
      </w:r>
      <w:r w:rsidR="00C53A6B">
        <w:t xml:space="preserve"> (CWF)</w:t>
      </w:r>
      <w:r w:rsidR="004F0BFE" w:rsidRPr="004F0BFE">
        <w:t xml:space="preserve"> </w:t>
      </w:r>
      <w:r w:rsidR="007765E7" w:rsidRPr="004F0BFE">
        <w:t xml:space="preserve">is a system that contains all Medicare beneficiary information as well as claim transactions, which includes Medicare Part A, Part B and </w:t>
      </w:r>
      <w:r w:rsidRPr="004F0BFE">
        <w:t>Durable Medical Equipment</w:t>
      </w:r>
      <w:r w:rsidR="007765E7" w:rsidRPr="004F0BFE">
        <w:t>.</w:t>
      </w:r>
      <w:r w:rsidR="00AB1ECF" w:rsidRPr="004F0BFE">
        <w:t xml:space="preserve"> </w:t>
      </w:r>
      <w:r w:rsidR="007765E7" w:rsidRPr="004F0BFE">
        <w:t xml:space="preserve">The </w:t>
      </w:r>
      <w:r w:rsidR="003F4612" w:rsidRPr="004F0BFE">
        <w:t>Fisca</w:t>
      </w:r>
      <w:r w:rsidRPr="004F0BFE">
        <w:t>l Intermediary Standard System</w:t>
      </w:r>
      <w:r w:rsidR="004F0BFE" w:rsidRPr="004F0BFE">
        <w:t xml:space="preserve"> </w:t>
      </w:r>
      <w:r w:rsidR="007765E7" w:rsidRPr="004F0BFE">
        <w:t xml:space="preserve">and </w:t>
      </w:r>
      <w:r w:rsidRPr="004F0BFE">
        <w:t>M</w:t>
      </w:r>
      <w:r w:rsidR="005029C2">
        <w:t>ulti-</w:t>
      </w:r>
      <w:r w:rsidRPr="004F0BFE">
        <w:t>C</w:t>
      </w:r>
      <w:r w:rsidR="005029C2">
        <w:t xml:space="preserve">arrier </w:t>
      </w:r>
      <w:r w:rsidRPr="004F0BFE">
        <w:t>S</w:t>
      </w:r>
      <w:r w:rsidR="005029C2">
        <w:t>ystem</w:t>
      </w:r>
      <w:r w:rsidRPr="004F0BFE">
        <w:t xml:space="preserve"> </w:t>
      </w:r>
      <w:r w:rsidR="007765E7" w:rsidRPr="004F0BFE">
        <w:t>processing systems interface with CWF to process claims.</w:t>
      </w:r>
      <w:r w:rsidR="00AB1ECF" w:rsidRPr="004F0BFE">
        <w:t xml:space="preserve"> </w:t>
      </w:r>
      <w:r w:rsidR="007765E7" w:rsidRPr="004F0BFE">
        <w:t>CWF verifies the beneficiary’s entitlement to Medicare, deductible status, available benefits, and check claims history.</w:t>
      </w:r>
      <w:r w:rsidR="00AB1ECF" w:rsidRPr="004F0BFE">
        <w:t xml:space="preserve"> </w:t>
      </w:r>
      <w:r w:rsidR="007765E7" w:rsidRPr="004F0BFE">
        <w:t xml:space="preserve">For more information on CWF, </w:t>
      </w:r>
      <w:r w:rsidR="00BC3003" w:rsidRPr="004F0BFE">
        <w:t>please</w:t>
      </w:r>
      <w:r w:rsidR="00BC3003">
        <w:t xml:space="preserve"> visit the </w:t>
      </w:r>
      <w:hyperlink r:id="rId22" w:history="1">
        <w:r w:rsidR="00A2242F">
          <w:rPr>
            <w:rStyle w:val="Hyperlink"/>
          </w:rPr>
          <w:t>CMS IOM Publication 100-04, Claims Processing Manual, Chapter 27</w:t>
        </w:r>
      </w:hyperlink>
      <w:r>
        <w:t>.</w:t>
      </w:r>
    </w:p>
    <w:p w14:paraId="207429CF" w14:textId="62C2A3AD" w:rsidR="007765E7" w:rsidRPr="007765E7" w:rsidRDefault="00DA1844" w:rsidP="00E16D11">
      <w:pPr>
        <w:pStyle w:val="webheader2"/>
      </w:pPr>
      <w:bookmarkStart w:id="6" w:name="6"/>
      <w:r>
        <w:t>Verifying patient e</w:t>
      </w:r>
      <w:r w:rsidR="007765E7" w:rsidRPr="007765E7">
        <w:t>ntitlement</w:t>
      </w:r>
      <w:bookmarkEnd w:id="6"/>
    </w:p>
    <w:p w14:paraId="38CA07DC" w14:textId="7ED8F08C" w:rsidR="00550656" w:rsidRPr="00550656" w:rsidRDefault="00550656" w:rsidP="00550656">
      <w:pPr>
        <w:pStyle w:val="webnormal"/>
      </w:pPr>
      <w:r w:rsidRPr="00550656">
        <w:t xml:space="preserve">CMS requires providers to use the interactive voice response (IVR) Systems to access claim status and beneficiary eligibility information. </w:t>
      </w:r>
    </w:p>
    <w:p w14:paraId="1C86D547" w14:textId="242C2A13" w:rsidR="0077116E" w:rsidRPr="0077116E" w:rsidRDefault="0077116E" w:rsidP="00550656">
      <w:pPr>
        <w:pStyle w:val="webbullet1"/>
      </w:pPr>
      <w:r>
        <w:t xml:space="preserve">Register to use </w:t>
      </w:r>
      <w:hyperlink r:id="rId23" w:history="1">
        <w:r w:rsidRPr="0077116E">
          <w:rPr>
            <w:rStyle w:val="Hyperlink"/>
          </w:rPr>
          <w:t>Novitasphere</w:t>
        </w:r>
      </w:hyperlink>
      <w:r w:rsidRPr="0077116E">
        <w:t>. Our online portal is available 24-hours a day, 7 days a week, with the exception of downtime for maintenance.</w:t>
      </w:r>
    </w:p>
    <w:p w14:paraId="7BB0C12F" w14:textId="77777777" w:rsidR="0077116E" w:rsidRPr="0077116E" w:rsidRDefault="0077116E" w:rsidP="0077116E">
      <w:pPr>
        <w:pStyle w:val="webbullet1"/>
      </w:pPr>
      <w:hyperlink r:id="rId24" w:history="1">
        <w:r w:rsidRPr="0077116E">
          <w:rPr>
            <w:rStyle w:val="Hyperlink"/>
          </w:rPr>
          <w:t>View</w:t>
        </w:r>
      </w:hyperlink>
      <w:r w:rsidRPr="0077116E">
        <w:t xml:space="preserve"> all of the available features offered within the Novitasphere portal. </w:t>
      </w:r>
    </w:p>
    <w:p w14:paraId="207429D0" w14:textId="2E4C1966" w:rsidR="003F4612" w:rsidRPr="004F0BFE" w:rsidRDefault="003F4612" w:rsidP="0077116E">
      <w:pPr>
        <w:pStyle w:val="webnormal"/>
      </w:pPr>
    </w:p>
    <w:sectPr w:rsidR="003F4612" w:rsidRPr="004F0BFE" w:rsidSect="00691F2B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8431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6E39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99A1A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3EC7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C8B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C4A5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9E33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10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020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1EA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109EF"/>
    <w:multiLevelType w:val="hybridMultilevel"/>
    <w:tmpl w:val="1840C552"/>
    <w:lvl w:ilvl="0" w:tplc="2D243406">
      <w:start w:val="1"/>
      <w:numFmt w:val="decimal"/>
      <w:pStyle w:val="webnumbered2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0D5D4D2D"/>
    <w:multiLevelType w:val="hybridMultilevel"/>
    <w:tmpl w:val="8C44B502"/>
    <w:lvl w:ilvl="0" w:tplc="04090001">
      <w:start w:val="1"/>
      <w:numFmt w:val="bullet"/>
      <w:pStyle w:val="web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945CA"/>
    <w:multiLevelType w:val="multilevel"/>
    <w:tmpl w:val="4F641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E12D6B"/>
    <w:multiLevelType w:val="hybridMultilevel"/>
    <w:tmpl w:val="2DD00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62603"/>
    <w:multiLevelType w:val="hybridMultilevel"/>
    <w:tmpl w:val="D98A243E"/>
    <w:lvl w:ilvl="0" w:tplc="F10E4C4E">
      <w:start w:val="1"/>
      <w:numFmt w:val="bullet"/>
      <w:pStyle w:val="webbullet3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C57D6"/>
    <w:multiLevelType w:val="hybridMultilevel"/>
    <w:tmpl w:val="B8A63188"/>
    <w:lvl w:ilvl="0" w:tplc="7ADCE55C">
      <w:start w:val="1"/>
      <w:numFmt w:val="decimal"/>
      <w:pStyle w:val="webnumbered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945980"/>
    <w:multiLevelType w:val="hybridMultilevel"/>
    <w:tmpl w:val="7CD0AFAA"/>
    <w:lvl w:ilvl="0" w:tplc="4DA40C2E">
      <w:start w:val="1"/>
      <w:numFmt w:val="decimal"/>
      <w:pStyle w:val="webnumbered3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4435F9"/>
    <w:multiLevelType w:val="hybridMultilevel"/>
    <w:tmpl w:val="BF967C1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9035B"/>
    <w:multiLevelType w:val="multilevel"/>
    <w:tmpl w:val="BC5A5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A722A5"/>
    <w:multiLevelType w:val="hybridMultilevel"/>
    <w:tmpl w:val="0B4CB584"/>
    <w:lvl w:ilvl="0" w:tplc="FEA6ADEA">
      <w:start w:val="1"/>
      <w:numFmt w:val="bullet"/>
      <w:pStyle w:val="webbullet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9052724">
    <w:abstractNumId w:val="11"/>
  </w:num>
  <w:num w:numId="2" w16cid:durableId="1006639562">
    <w:abstractNumId w:val="15"/>
  </w:num>
  <w:num w:numId="3" w16cid:durableId="1747452404">
    <w:abstractNumId w:val="10"/>
  </w:num>
  <w:num w:numId="4" w16cid:durableId="428359313">
    <w:abstractNumId w:val="19"/>
  </w:num>
  <w:num w:numId="5" w16cid:durableId="420491200">
    <w:abstractNumId w:val="14"/>
  </w:num>
  <w:num w:numId="6" w16cid:durableId="367150128">
    <w:abstractNumId w:val="16"/>
  </w:num>
  <w:num w:numId="7" w16cid:durableId="836187531">
    <w:abstractNumId w:val="14"/>
  </w:num>
  <w:num w:numId="8" w16cid:durableId="1179387189">
    <w:abstractNumId w:val="19"/>
  </w:num>
  <w:num w:numId="9" w16cid:durableId="13161093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14188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9052183">
    <w:abstractNumId w:val="11"/>
  </w:num>
  <w:num w:numId="12" w16cid:durableId="8838353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68482">
    <w:abstractNumId w:val="9"/>
  </w:num>
  <w:num w:numId="14" w16cid:durableId="826215379">
    <w:abstractNumId w:val="7"/>
  </w:num>
  <w:num w:numId="15" w16cid:durableId="1964921414">
    <w:abstractNumId w:val="6"/>
  </w:num>
  <w:num w:numId="16" w16cid:durableId="297806422">
    <w:abstractNumId w:val="5"/>
  </w:num>
  <w:num w:numId="17" w16cid:durableId="82071378">
    <w:abstractNumId w:val="4"/>
  </w:num>
  <w:num w:numId="18" w16cid:durableId="472412451">
    <w:abstractNumId w:val="8"/>
  </w:num>
  <w:num w:numId="19" w16cid:durableId="657462100">
    <w:abstractNumId w:val="3"/>
  </w:num>
  <w:num w:numId="20" w16cid:durableId="1939873829">
    <w:abstractNumId w:val="2"/>
  </w:num>
  <w:num w:numId="21" w16cid:durableId="1844853610">
    <w:abstractNumId w:val="1"/>
  </w:num>
  <w:num w:numId="22" w16cid:durableId="1204975514">
    <w:abstractNumId w:val="0"/>
  </w:num>
  <w:num w:numId="23" w16cid:durableId="245581878">
    <w:abstractNumId w:val="17"/>
  </w:num>
  <w:num w:numId="24" w16cid:durableId="1958637653">
    <w:abstractNumId w:val="12"/>
  </w:num>
  <w:num w:numId="25" w16cid:durableId="36248750">
    <w:abstractNumId w:val="18"/>
  </w:num>
  <w:num w:numId="26" w16cid:durableId="1076319325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formatting="1" w:enforcement="1"/>
  <w:defaultTabStop w:val="720"/>
  <w:clickAndTypeStyle w:val="webcomment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E3"/>
    <w:rsid w:val="00051E4D"/>
    <w:rsid w:val="00093E64"/>
    <w:rsid w:val="000C1D4A"/>
    <w:rsid w:val="00130DF9"/>
    <w:rsid w:val="00145DCD"/>
    <w:rsid w:val="00157BBA"/>
    <w:rsid w:val="001A0AB9"/>
    <w:rsid w:val="001B0ED7"/>
    <w:rsid w:val="001B425B"/>
    <w:rsid w:val="001C4E73"/>
    <w:rsid w:val="001E2FAA"/>
    <w:rsid w:val="001E4F80"/>
    <w:rsid w:val="00202A27"/>
    <w:rsid w:val="00210713"/>
    <w:rsid w:val="00254D76"/>
    <w:rsid w:val="00272E35"/>
    <w:rsid w:val="00356776"/>
    <w:rsid w:val="00363BFF"/>
    <w:rsid w:val="00391469"/>
    <w:rsid w:val="003A29AD"/>
    <w:rsid w:val="003A40B7"/>
    <w:rsid w:val="003A6494"/>
    <w:rsid w:val="003C22F1"/>
    <w:rsid w:val="003C63ED"/>
    <w:rsid w:val="003F14A7"/>
    <w:rsid w:val="003F4612"/>
    <w:rsid w:val="003F63AA"/>
    <w:rsid w:val="004162AE"/>
    <w:rsid w:val="004714B0"/>
    <w:rsid w:val="00477EF8"/>
    <w:rsid w:val="0049375B"/>
    <w:rsid w:val="004C3C55"/>
    <w:rsid w:val="004F0BFE"/>
    <w:rsid w:val="005029C2"/>
    <w:rsid w:val="005071D3"/>
    <w:rsid w:val="00513D3F"/>
    <w:rsid w:val="00546870"/>
    <w:rsid w:val="00550656"/>
    <w:rsid w:val="005744A7"/>
    <w:rsid w:val="00632C35"/>
    <w:rsid w:val="00682AA1"/>
    <w:rsid w:val="00691F2B"/>
    <w:rsid w:val="006E3869"/>
    <w:rsid w:val="0073335B"/>
    <w:rsid w:val="0073729C"/>
    <w:rsid w:val="007410FC"/>
    <w:rsid w:val="00766D0F"/>
    <w:rsid w:val="0077116E"/>
    <w:rsid w:val="007765E7"/>
    <w:rsid w:val="007925FC"/>
    <w:rsid w:val="007A0974"/>
    <w:rsid w:val="007B479D"/>
    <w:rsid w:val="007D24BF"/>
    <w:rsid w:val="00803F9D"/>
    <w:rsid w:val="008053F2"/>
    <w:rsid w:val="00810F94"/>
    <w:rsid w:val="008123FC"/>
    <w:rsid w:val="00861C2B"/>
    <w:rsid w:val="008779BD"/>
    <w:rsid w:val="0088323E"/>
    <w:rsid w:val="008A0E01"/>
    <w:rsid w:val="008F343B"/>
    <w:rsid w:val="0092085A"/>
    <w:rsid w:val="00927EB1"/>
    <w:rsid w:val="009312AD"/>
    <w:rsid w:val="009811F7"/>
    <w:rsid w:val="00986FB4"/>
    <w:rsid w:val="009B33E3"/>
    <w:rsid w:val="009C7BA4"/>
    <w:rsid w:val="009F1535"/>
    <w:rsid w:val="00A2242F"/>
    <w:rsid w:val="00AA1354"/>
    <w:rsid w:val="00AB1ECF"/>
    <w:rsid w:val="00AE1B51"/>
    <w:rsid w:val="00B2746C"/>
    <w:rsid w:val="00B51F4F"/>
    <w:rsid w:val="00B86477"/>
    <w:rsid w:val="00BC0218"/>
    <w:rsid w:val="00BC3003"/>
    <w:rsid w:val="00BE35C1"/>
    <w:rsid w:val="00C16A79"/>
    <w:rsid w:val="00C261AE"/>
    <w:rsid w:val="00C41AA9"/>
    <w:rsid w:val="00C53A6B"/>
    <w:rsid w:val="00C7062C"/>
    <w:rsid w:val="00C719C3"/>
    <w:rsid w:val="00D05EB8"/>
    <w:rsid w:val="00D11DDE"/>
    <w:rsid w:val="00D64B9B"/>
    <w:rsid w:val="00D818E6"/>
    <w:rsid w:val="00DA1844"/>
    <w:rsid w:val="00DA2957"/>
    <w:rsid w:val="00E063BC"/>
    <w:rsid w:val="00E14C9C"/>
    <w:rsid w:val="00E16D11"/>
    <w:rsid w:val="00E52494"/>
    <w:rsid w:val="00E60C0C"/>
    <w:rsid w:val="00E635D6"/>
    <w:rsid w:val="00EA68CB"/>
    <w:rsid w:val="00EC1296"/>
    <w:rsid w:val="00F23054"/>
    <w:rsid w:val="00F7100E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7429A7"/>
  <w15:docId w15:val="{B67D22E4-65FB-4F9A-8EA8-59FDAF10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="Times New Roman" w:hAnsi="Comic Sans MS" w:cs="Times New Roman"/>
        <w:sz w:val="28"/>
        <w:szCs w:val="28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202A27"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7765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semiHidden/>
    <w:locked/>
    <w:rPr>
      <w:rFonts w:ascii="Arial" w:hAnsi="Arial"/>
      <w:color w:val="6699CC"/>
      <w:u w:val="none"/>
    </w:rPr>
  </w:style>
  <w:style w:type="character" w:styleId="Hyperlink">
    <w:name w:val="Hyperlink"/>
    <w:basedOn w:val="DefaultParagraphFont"/>
    <w:semiHidden/>
    <w:rsid w:val="00202A27"/>
    <w:rPr>
      <w:rFonts w:ascii="Arial" w:hAnsi="Arial"/>
      <w:color w:val="0000FF"/>
      <w:u w:val="none"/>
    </w:rPr>
  </w:style>
  <w:style w:type="character" w:customStyle="1" w:styleId="webbold">
    <w:name w:val="web_bold"/>
    <w:rPr>
      <w:rFonts w:ascii="Arial" w:hAnsi="Arial"/>
      <w:b/>
    </w:rPr>
  </w:style>
  <w:style w:type="character" w:customStyle="1" w:styleId="webboldred">
    <w:name w:val="web_bold_red"/>
    <w:basedOn w:val="DefaultParagraphFont"/>
    <w:rPr>
      <w:rFonts w:ascii="Arial" w:hAnsi="Arial"/>
      <w:b/>
      <w:color w:val="FF0000"/>
    </w:rPr>
  </w:style>
  <w:style w:type="paragraph" w:customStyle="1" w:styleId="webcode2">
    <w:name w:val="web_code_2"/>
    <w:basedOn w:val="webcode1"/>
    <w:qFormat/>
    <w:rsid w:val="00272E35"/>
  </w:style>
  <w:style w:type="paragraph" w:customStyle="1" w:styleId="webcenter">
    <w:name w:val="web_center"/>
    <w:basedOn w:val="webnormal"/>
    <w:pPr>
      <w:jc w:val="center"/>
    </w:pPr>
  </w:style>
  <w:style w:type="paragraph" w:customStyle="1" w:styleId="webcode3">
    <w:name w:val="web_code_3"/>
    <w:basedOn w:val="webcode2"/>
    <w:qFormat/>
    <w:rsid w:val="00272E35"/>
  </w:style>
  <w:style w:type="paragraph" w:customStyle="1" w:styleId="webcomment">
    <w:name w:val="web_comment"/>
    <w:basedOn w:val="webnormal"/>
  </w:style>
  <w:style w:type="paragraph" w:customStyle="1" w:styleId="webheader">
    <w:name w:val="web_header"/>
    <w:basedOn w:val="webnormal"/>
    <w:next w:val="webnormal"/>
    <w:qFormat/>
    <w:rsid w:val="00272E35"/>
    <w:rPr>
      <w:rFonts w:ascii="Verdana" w:hAnsi="Verdana"/>
      <w:b/>
      <w:sz w:val="36"/>
    </w:rPr>
  </w:style>
  <w:style w:type="character" w:customStyle="1" w:styleId="webitalics">
    <w:name w:val="web_italics"/>
    <w:rsid w:val="00130DF9"/>
    <w:rPr>
      <w:rFonts w:ascii="Arial" w:hAnsi="Arial"/>
      <w:i/>
      <w:szCs w:val="20"/>
    </w:rPr>
  </w:style>
  <w:style w:type="paragraph" w:customStyle="1" w:styleId="webwraprightimage">
    <w:name w:val="web_wrap_right_image"/>
    <w:basedOn w:val="webnormal"/>
    <w:rsid w:val="00F23054"/>
  </w:style>
  <w:style w:type="paragraph" w:customStyle="1" w:styleId="webwrapleftimage">
    <w:name w:val="web_wrap_left_image"/>
    <w:basedOn w:val="webnormal"/>
    <w:rsid w:val="00F23054"/>
  </w:style>
  <w:style w:type="paragraph" w:customStyle="1" w:styleId="webcode1">
    <w:name w:val="web_code_1"/>
    <w:basedOn w:val="webnormal"/>
    <w:rPr>
      <w:b/>
      <w:color w:val="FF00FF"/>
    </w:rPr>
  </w:style>
  <w:style w:type="paragraph" w:customStyle="1" w:styleId="webnormal">
    <w:name w:val="web_normal"/>
    <w:qFormat/>
    <w:pPr>
      <w:spacing w:before="120" w:after="120"/>
    </w:pPr>
    <w:rPr>
      <w:rFonts w:ascii="Arial" w:hAnsi="Arial"/>
      <w:sz w:val="24"/>
      <w:szCs w:val="24"/>
    </w:rPr>
  </w:style>
  <w:style w:type="paragraph" w:customStyle="1" w:styleId="webright">
    <w:name w:val="web_right"/>
    <w:basedOn w:val="webnormal"/>
    <w:pPr>
      <w:jc w:val="right"/>
    </w:pPr>
  </w:style>
  <w:style w:type="paragraph" w:customStyle="1" w:styleId="webindent2">
    <w:name w:val="web_indent_2"/>
    <w:basedOn w:val="webindent1"/>
    <w:pPr>
      <w:ind w:left="1152"/>
    </w:pPr>
  </w:style>
  <w:style w:type="paragraph" w:customStyle="1" w:styleId="webseparator">
    <w:name w:val="web_separator"/>
    <w:basedOn w:val="webnormal"/>
    <w:next w:val="webnormal"/>
    <w:rsid w:val="00391469"/>
    <w:pPr>
      <w:pBdr>
        <w:bottom w:val="single" w:sz="12" w:space="0" w:color="808080"/>
      </w:pBdr>
      <w:spacing w:before="0" w:after="240"/>
    </w:pPr>
    <w:rPr>
      <w:color w:val="FF00FF"/>
    </w:rPr>
  </w:style>
  <w:style w:type="paragraph" w:customStyle="1" w:styleId="websmall">
    <w:name w:val="web_small"/>
    <w:basedOn w:val="webnormal"/>
    <w:rPr>
      <w:sz w:val="16"/>
    </w:rPr>
  </w:style>
  <w:style w:type="paragraph" w:customStyle="1" w:styleId="websource">
    <w:name w:val="web_source"/>
    <w:basedOn w:val="webnormal"/>
    <w:pPr>
      <w:jc w:val="right"/>
    </w:pPr>
    <w:rPr>
      <w:i/>
      <w:szCs w:val="20"/>
    </w:rPr>
  </w:style>
  <w:style w:type="paragraph" w:customStyle="1" w:styleId="webbullet3">
    <w:name w:val="web_bullet_3"/>
    <w:basedOn w:val="webnormal"/>
    <w:rsid w:val="00861C2B"/>
    <w:pPr>
      <w:numPr>
        <w:numId w:val="5"/>
      </w:numPr>
    </w:pPr>
  </w:style>
  <w:style w:type="paragraph" w:customStyle="1" w:styleId="webbullet2">
    <w:name w:val="web_bullet_2"/>
    <w:basedOn w:val="webnormal"/>
    <w:pPr>
      <w:numPr>
        <w:numId w:val="4"/>
      </w:numPr>
    </w:pPr>
  </w:style>
  <w:style w:type="paragraph" w:customStyle="1" w:styleId="webnumbered2">
    <w:name w:val="web_numbered_2"/>
    <w:basedOn w:val="webnumbered1"/>
    <w:pPr>
      <w:numPr>
        <w:numId w:val="3"/>
      </w:numPr>
      <w:tabs>
        <w:tab w:val="clear" w:pos="1440"/>
        <w:tab w:val="left" w:pos="720"/>
      </w:tabs>
      <w:ind w:left="1080"/>
    </w:pPr>
  </w:style>
  <w:style w:type="paragraph" w:customStyle="1" w:styleId="webindent3">
    <w:name w:val="web_indent_3"/>
    <w:basedOn w:val="webindent2"/>
    <w:pPr>
      <w:ind w:left="1440"/>
    </w:pPr>
  </w:style>
  <w:style w:type="paragraph" w:customStyle="1" w:styleId="webnumbered3">
    <w:name w:val="web_numbered_3"/>
    <w:basedOn w:val="webnumbered2"/>
    <w:pPr>
      <w:numPr>
        <w:numId w:val="6"/>
      </w:numPr>
      <w:ind w:left="1440"/>
    </w:pPr>
  </w:style>
  <w:style w:type="paragraph" w:customStyle="1" w:styleId="webbullet1">
    <w:name w:val="web_bullet_1"/>
    <w:basedOn w:val="webnormal"/>
    <w:pPr>
      <w:numPr>
        <w:numId w:val="1"/>
      </w:numPr>
    </w:pPr>
  </w:style>
  <w:style w:type="paragraph" w:customStyle="1" w:styleId="webindent1">
    <w:name w:val="web_indent_1"/>
    <w:basedOn w:val="webnormal"/>
    <w:pPr>
      <w:ind w:left="720"/>
    </w:pPr>
  </w:style>
  <w:style w:type="paragraph" w:customStyle="1" w:styleId="webnumbered1">
    <w:name w:val="web_numbered_1"/>
    <w:basedOn w:val="webnormal"/>
    <w:pPr>
      <w:numPr>
        <w:numId w:val="2"/>
      </w:numPr>
    </w:pPr>
  </w:style>
  <w:style w:type="paragraph" w:customStyle="1" w:styleId="webheader2">
    <w:name w:val="web_header_2"/>
    <w:basedOn w:val="webheader"/>
    <w:next w:val="webnormal"/>
    <w:qFormat/>
    <w:pPr>
      <w:spacing w:before="100"/>
    </w:pPr>
    <w:rPr>
      <w:sz w:val="32"/>
      <w:szCs w:val="20"/>
    </w:rPr>
  </w:style>
  <w:style w:type="paragraph" w:customStyle="1" w:styleId="webheader3">
    <w:name w:val="web_header_3"/>
    <w:basedOn w:val="webheader2"/>
    <w:rPr>
      <w:sz w:val="28"/>
    </w:rPr>
  </w:style>
  <w:style w:type="paragraph" w:customStyle="1" w:styleId="webheader4">
    <w:name w:val="web_header_4"/>
    <w:basedOn w:val="webheader3"/>
    <w:rPr>
      <w:sz w:val="24"/>
      <w:szCs w:val="24"/>
    </w:rPr>
  </w:style>
  <w:style w:type="table" w:styleId="TableGrid">
    <w:name w:val="Table Grid"/>
    <w:basedOn w:val="TableNormal"/>
    <w:uiPriority w:val="59"/>
    <w:locked/>
    <w:rsid w:val="00691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image">
    <w:name w:val="web_image"/>
    <w:basedOn w:val="webnormal"/>
    <w:next w:val="webnormal"/>
    <w:qFormat/>
    <w:rsid w:val="00B2746C"/>
  </w:style>
  <w:style w:type="paragraph" w:customStyle="1" w:styleId="webcaption">
    <w:name w:val="web_caption"/>
    <w:basedOn w:val="webnormal"/>
    <w:next w:val="webimage"/>
    <w:qFormat/>
    <w:rsid w:val="00B2746C"/>
  </w:style>
  <w:style w:type="character" w:customStyle="1" w:styleId="webbolditalic">
    <w:name w:val="web_bold_italic"/>
    <w:basedOn w:val="webbold"/>
    <w:uiPriority w:val="1"/>
    <w:qFormat/>
    <w:rsid w:val="00B2746C"/>
    <w:rPr>
      <w:rFonts w:ascii="Arial" w:hAnsi="Arial"/>
      <w:b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F3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43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02A27"/>
  </w:style>
  <w:style w:type="character" w:customStyle="1" w:styleId="Heading1Char">
    <w:name w:val="Heading 1 Char"/>
    <w:basedOn w:val="DefaultParagraphFont"/>
    <w:link w:val="Heading1"/>
    <w:uiPriority w:val="9"/>
    <w:rsid w:val="007765E7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locked/>
    <w:rsid w:val="007765E7"/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7765E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5029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5029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9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5029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9C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E4F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locked/>
    <w:rsid w:val="0077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6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www.medicare.gov/basics/your-medicare-rights" TargetMode="External"/><Relationship Id="rId18" Type="http://schemas.openxmlformats.org/officeDocument/2006/relationships/hyperlink" Target="https://www.cms.gov/Medicare-Medicaid-Coordination/Fraud-Prevention/Medicaid-Integrity-Education/Downloads/hospice-overviewfactsheet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ms.gov/Regulations-and-Guidance/Guidance/Manuals/Downloads/clm104c11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medicare.gov/basics/costs/medicare-costs" TargetMode="External"/><Relationship Id="rId17" Type="http://schemas.openxmlformats.org/officeDocument/2006/relationships/hyperlink" Target="https://www.cms.gov/Research-Statistics-Data-and-Systems/Statistics-Trends-and-Reports/MCRAdvPartDEnrolData/MA-Plan-Directory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edicaid.gov/" TargetMode="External"/><Relationship Id="rId20" Type="http://schemas.openxmlformats.org/officeDocument/2006/relationships/hyperlink" Target="http://www.cms.gov/manuals/Downloads/bp102c09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edicare.gov/" TargetMode="External"/><Relationship Id="rId24" Type="http://schemas.openxmlformats.org/officeDocument/2006/relationships/hyperlink" Target="https://www.novitas-solutions.com/webcenter/content/conn/UCM_Repository/uuid/dDocName:00177702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mwafunds.org/" TargetMode="External"/><Relationship Id="rId23" Type="http://schemas.openxmlformats.org/officeDocument/2006/relationships/hyperlink" Target="ddocname:00098556" TargetMode="External"/><Relationship Id="rId10" Type="http://schemas.openxmlformats.org/officeDocument/2006/relationships/hyperlink" Target="http://www.novitas-solutions.com/webcenter/portal/Novitasphere_JH" TargetMode="External"/><Relationship Id="rId19" Type="http://schemas.openxmlformats.org/officeDocument/2006/relationships/hyperlink" Target="http://www.cms.gov/Center/Provider-Type/Hospice-Center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novitas-solutions.com/webcenter/portal/Novitasphere_JL" TargetMode="External"/><Relationship Id="rId14" Type="http://schemas.openxmlformats.org/officeDocument/2006/relationships/hyperlink" Target="https://www.rrb.gov/" TargetMode="External"/><Relationship Id="rId22" Type="http://schemas.openxmlformats.org/officeDocument/2006/relationships/hyperlink" Target="https://www.cms.gov/Regulations-and-Guidance/Guidance/Manuals/Downloads/clm104c2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FD4B53-966B-4131-A2FF-814A896E2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A4465B-1C3A-436E-B9B7-F899323DA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02E823-6BE4-4E22-9849-E88FC4323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537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header]</vt:lpstr>
    </vt:vector>
  </TitlesOfParts>
  <Company>FCSO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[Document header]</dc:title>
  <dc:subject>[Document header]</dc:subject>
  <dc:creator>Plevyak, Brad</dc:creator>
  <cp:lastModifiedBy>Keefer, Felecia</cp:lastModifiedBy>
  <cp:revision>2</cp:revision>
  <cp:lastPrinted>2013-08-22T18:47:00Z</cp:lastPrinted>
  <dcterms:created xsi:type="dcterms:W3CDTF">2026-01-20T14:21:00Z</dcterms:created>
  <dcterms:modified xsi:type="dcterms:W3CDTF">2026-01-20T14:21:00Z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