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891A1" w14:textId="7F806E25" w:rsidR="00EA21C5" w:rsidRPr="00EA21C5" w:rsidRDefault="00A17FDB" w:rsidP="00322256">
      <w:pPr>
        <w:pStyle w:val="webheader"/>
      </w:pPr>
      <w:bookmarkStart w:id="0" w:name="content"/>
      <w:r>
        <w:t>Crossover claims</w:t>
      </w:r>
      <w:r w:rsidR="00AD7C39">
        <w:t>: S</w:t>
      </w:r>
      <w:r w:rsidR="00EA21C5" w:rsidRPr="00322256">
        <w:t xml:space="preserve">upplemental </w:t>
      </w:r>
      <w:r w:rsidR="00155A6B">
        <w:t>i</w:t>
      </w:r>
      <w:r w:rsidR="00EA21C5" w:rsidRPr="00322256">
        <w:t>nsurance and Medigap</w:t>
      </w:r>
      <w:bookmarkEnd w:id="0"/>
      <w:r w:rsidR="00EA21C5" w:rsidRPr="00EA21C5">
        <w:t xml:space="preserve"> </w:t>
      </w:r>
      <w:r w:rsidR="000F2CCD">
        <w:t>plans</w:t>
      </w:r>
    </w:p>
    <w:p w14:paraId="2CF2DC8A" w14:textId="66C505A6" w:rsidR="009178B3" w:rsidRDefault="00A17FDB" w:rsidP="00A17FDB">
      <w:pPr>
        <w:pStyle w:val="webnormal"/>
      </w:pPr>
      <w:r w:rsidRPr="00A17FDB">
        <w:t xml:space="preserve">The Coordination of Benefits Agreement (COBA) Medicare claims crossover program establishes a nationally standard contract between CMS and other health insurance organizations that defines the criteria for transmitting enrollee eligibility data and Medicare adjudicated claim data to supplemental payers. A national claims crossover contractor, </w:t>
      </w:r>
      <w:r w:rsidR="003E5704">
        <w:t>MSP contractor</w:t>
      </w:r>
      <w:r w:rsidRPr="00A17FDB">
        <w:t xml:space="preserve">, administers Medicare claims crossover functions on CMS' behalf. </w:t>
      </w:r>
    </w:p>
    <w:p w14:paraId="3D5AA892" w14:textId="56707A90" w:rsidR="00A17FDB" w:rsidRPr="00A17FDB" w:rsidRDefault="009178B3" w:rsidP="00A17FDB">
      <w:pPr>
        <w:pStyle w:val="webnormal"/>
      </w:pPr>
      <w:r w:rsidRPr="009178B3">
        <w:t xml:space="preserve">If the insurer has a COBA with Medicare, Medicare will cross over the claim information to the insurer. An eligibility file is sent from the Trading Partner (supplemental </w:t>
      </w:r>
      <w:r>
        <w:t>insurance/Medigap</w:t>
      </w:r>
      <w:r w:rsidR="000F2CCD">
        <w:t xml:space="preserve"> plan</w:t>
      </w:r>
      <w:r w:rsidRPr="009178B3">
        <w:t xml:space="preserve">) to the </w:t>
      </w:r>
      <w:r w:rsidR="003E5704">
        <w:t>MSP contractor</w:t>
      </w:r>
      <w:r w:rsidRPr="009178B3">
        <w:t>. The file contains data to identify the Medicare ID and claims criteria, specified by the Trading Partner, for crossovers. Each Trading Partner is issued a COBA ID. The COBA ID and eligibility file data, along with information specific to that trading partner, are stored in CWF. When claims are processed, CWF compares each COB trading partner's claims selection criteria against the Medicare claims. If the claim matches the trading partner's claims criteria and Medicare ID in their eligibility file, the claim information is automatically crossed over to the trading partner, via an electronic file.</w:t>
      </w:r>
      <w:r>
        <w:t xml:space="preserve"> </w:t>
      </w:r>
      <w:r w:rsidR="00A17FDB" w:rsidRPr="00A17FDB">
        <w:t xml:space="preserve">For more information, visit the </w:t>
      </w:r>
      <w:hyperlink r:id="rId8" w:history="1">
        <w:r w:rsidR="00A17FDB" w:rsidRPr="00A17FDB">
          <w:rPr>
            <w:rStyle w:val="Hyperlink"/>
          </w:rPr>
          <w:t>COBA webpage</w:t>
        </w:r>
      </w:hyperlink>
      <w:r w:rsidR="00A17FDB" w:rsidRPr="00A17FDB">
        <w:t>.</w:t>
      </w:r>
      <w:r>
        <w:t xml:space="preserve"> </w:t>
      </w:r>
      <w:r w:rsidRPr="009178B3">
        <w:t>This webpage also provides the current list of automatic crossover Trading Partners with a COBA</w:t>
      </w:r>
      <w:r w:rsidR="000F2CCD">
        <w:t>.</w:t>
      </w:r>
    </w:p>
    <w:p w14:paraId="27BAF38E" w14:textId="41DA500F" w:rsidR="009178B3" w:rsidRDefault="00A17FDB" w:rsidP="00A17FDB">
      <w:pPr>
        <w:pStyle w:val="webnormal"/>
      </w:pPr>
      <w:r w:rsidRPr="00A17FDB">
        <w:t xml:space="preserve">Virtually all standard Medigap plans, defined in Section 1882(g)(1) of Title XVIII of the Social Security Act, participate in the automatic or eligibility file-based crossover process. Such plans typically accept institutional as well as professional Medicare crossover claims from Medicare </w:t>
      </w:r>
      <w:r w:rsidR="000F2CCD" w:rsidRPr="00A17FDB">
        <w:t>daily</w:t>
      </w:r>
      <w:r w:rsidRPr="00A17FDB">
        <w:t xml:space="preserve">. Approximately </w:t>
      </w:r>
      <w:r>
        <w:t xml:space="preserve">ten or </w:t>
      </w:r>
      <w:r w:rsidR="009178B3">
        <w:t xml:space="preserve">eleven </w:t>
      </w:r>
      <w:r w:rsidRPr="00A17FDB">
        <w:t>Medigap plans avail themselve</w:t>
      </w:r>
      <w:r w:rsidR="009178B3" w:rsidRPr="009178B3">
        <w:t>s of the less commonly used Medigap claim-based crossover process, which cannot be used in association with Part A 837 institutional claims (including inpatient, outpatient, home health, and hospice related types of bills) or with claims for which the physician or supplier is non-participating with Medicare.</w:t>
      </w:r>
    </w:p>
    <w:p w14:paraId="49FD3A2F" w14:textId="77777777" w:rsidR="00292D3F" w:rsidRPr="00292D3F" w:rsidRDefault="00292D3F" w:rsidP="00292D3F">
      <w:pPr>
        <w:pStyle w:val="webnormal"/>
      </w:pPr>
      <w:r w:rsidRPr="00292D3F">
        <w:rPr>
          <w:rStyle w:val="webbold"/>
        </w:rPr>
        <w:t>Note:</w:t>
      </w:r>
      <w:r w:rsidRPr="00292D3F">
        <w:t xml:space="preserve"> If your claim was not electronically crossed over, please contact the supplemental or Medigap insurance for further instructions.</w:t>
      </w:r>
    </w:p>
    <w:p w14:paraId="6C0B2C89" w14:textId="687A282E" w:rsidR="00292D3F" w:rsidRDefault="00292D3F" w:rsidP="00292D3F">
      <w:pPr>
        <w:pStyle w:val="webheader2"/>
      </w:pPr>
      <w:r>
        <w:t>Identifying crossover claims on the electronic remittance advice (ERA)</w:t>
      </w:r>
    </w:p>
    <w:p w14:paraId="549E07F7" w14:textId="07E4D15D" w:rsidR="00292D3F" w:rsidRDefault="00292D3F" w:rsidP="00292D3F">
      <w:pPr>
        <w:pStyle w:val="webnormal"/>
      </w:pPr>
      <w:r w:rsidRPr="00292D3F">
        <w:t xml:space="preserve">The crossover information can be found on the ANSI 835 </w:t>
      </w:r>
      <w:r>
        <w:t>ERA</w:t>
      </w:r>
      <w:r w:rsidRPr="00292D3F">
        <w:t xml:space="preserve"> in the "TRANSFER TO (COB)" field. The Trading Partner's ID will </w:t>
      </w:r>
      <w:proofErr w:type="gramStart"/>
      <w:r w:rsidRPr="00292D3F">
        <w:t>be located in</w:t>
      </w:r>
      <w:proofErr w:type="gramEnd"/>
      <w:r w:rsidRPr="00292D3F">
        <w:t xml:space="preserve"> the "ID CODE" field on the ERA. If the claim crossed over to multiple Trading Partners, only the first one will be listed on the ERA.</w:t>
      </w:r>
    </w:p>
    <w:p w14:paraId="491C959C" w14:textId="03B868ED" w:rsidR="00292D3F" w:rsidRDefault="00292D3F" w:rsidP="00292D3F">
      <w:pPr>
        <w:pStyle w:val="webheader2"/>
      </w:pPr>
      <w:r>
        <w:t xml:space="preserve">Identifying crossover claim in the </w:t>
      </w:r>
      <w:r w:rsidRPr="00292D3F">
        <w:t>Fiscal Intermediary Standard System (FISS)</w:t>
      </w:r>
    </w:p>
    <w:p w14:paraId="02FE91C9" w14:textId="6B30C4BA" w:rsidR="00292D3F" w:rsidRDefault="00292D3F" w:rsidP="00A17FDB">
      <w:pPr>
        <w:pStyle w:val="webnormal"/>
      </w:pPr>
      <w:r w:rsidRPr="00292D3F">
        <w:t>The payment section, on page six of FISS, contains a "CROSSOVER IND" field. This field will either be blank or have a value of 1 in it. If it is blank, the claim did not cross over. If it contains a "1", the claim did cross over to the Trading Partner in the field titled "PARTNER ID". The Trading Partner ID is a nine-digit ID assigned by COBC. The payment data section in DDE (claim pg. 06) will indicate the same fields as mentioned above, "CROSSOVER IND" and "PARTNER ID". </w:t>
      </w:r>
    </w:p>
    <w:p w14:paraId="6454870C" w14:textId="296A3A90" w:rsidR="00A17FDB" w:rsidRDefault="00292D3F" w:rsidP="00292D3F">
      <w:pPr>
        <w:pStyle w:val="webheader2"/>
      </w:pPr>
      <w:r>
        <w:t>Medigap claim-based crossover process</w:t>
      </w:r>
    </w:p>
    <w:p w14:paraId="4DC7B0FE" w14:textId="49B4C433" w:rsidR="00B95700" w:rsidRDefault="00EA21C5" w:rsidP="00EA21C5">
      <w:pPr>
        <w:pStyle w:val="webnormal"/>
      </w:pPr>
      <w:r w:rsidRPr="00EA21C5">
        <w:t>The term Medigap refers to Medicare supplemental insurance. It is private health insurance designed specifically to supplement Medicare benefits by filling in some of the gaps in Medicare coverage</w:t>
      </w:r>
      <w:r w:rsidR="00A17FDB">
        <w:t xml:space="preserve"> </w:t>
      </w:r>
      <w:r w:rsidR="00A17FDB" w:rsidRPr="00A17FDB">
        <w:t>by providing payment for some of the charges for which Medicare does not have responsibility due to the applicability of deductibles, coinsurance amounts, or other limitations imposed by Medicare</w:t>
      </w:r>
      <w:r w:rsidRPr="00EA21C5">
        <w:t xml:space="preserve">. </w:t>
      </w:r>
    </w:p>
    <w:p w14:paraId="315CDF06" w14:textId="7F0BB468" w:rsidR="00155A6B" w:rsidRPr="00EA21C5" w:rsidRDefault="00155A6B" w:rsidP="00507E33">
      <w:pPr>
        <w:pStyle w:val="webnormal"/>
      </w:pPr>
      <w:r w:rsidRPr="00155A6B">
        <w:rPr>
          <w:rStyle w:val="webbold"/>
        </w:rPr>
        <w:lastRenderedPageBreak/>
        <w:t>Note:</w:t>
      </w:r>
      <w:r>
        <w:t xml:space="preserve"> For specific supplemental and/or Medigap coverage information, please contact the supplemental or Medigap insurer.</w:t>
      </w:r>
    </w:p>
    <w:p w14:paraId="3E278B7B" w14:textId="77777777" w:rsidR="00292D3F" w:rsidRDefault="00EA21C5" w:rsidP="0026493C">
      <w:pPr>
        <w:pStyle w:val="webnormal"/>
      </w:pPr>
      <w:r w:rsidRPr="00EA21C5">
        <w:t xml:space="preserve">For participating providers, when </w:t>
      </w:r>
      <w:r w:rsidR="008C4801">
        <w:t>reporting</w:t>
      </w:r>
      <w:r w:rsidRPr="00EA21C5">
        <w:t xml:space="preserve"> Medigap </w:t>
      </w:r>
      <w:r w:rsidR="00292D3F">
        <w:t xml:space="preserve">claim-based </w:t>
      </w:r>
      <w:r w:rsidRPr="00EA21C5">
        <w:t>information,</w:t>
      </w:r>
      <w:r w:rsidR="00292D3F">
        <w:t xml:space="preserve"> report the following on the CMS-1500 claim for or electronic equivalent.</w:t>
      </w:r>
    </w:p>
    <w:p w14:paraId="7D8259B6" w14:textId="2EBF9BF4" w:rsidR="00EA21C5" w:rsidRPr="00EA21C5" w:rsidRDefault="00EA21C5" w:rsidP="00EA21C5">
      <w:pPr>
        <w:pStyle w:val="webnormal"/>
      </w:pPr>
      <w:r w:rsidRPr="00EA21C5">
        <w:t>Reporting requirements for Medigap information are:</w:t>
      </w:r>
    </w:p>
    <w:p w14:paraId="0CB891BB" w14:textId="1E8522CF" w:rsidR="00EA21C5" w:rsidRPr="00EA21C5" w:rsidRDefault="00EA21C5" w:rsidP="00EA21C5">
      <w:pPr>
        <w:pStyle w:val="webbullet1"/>
      </w:pPr>
      <w:r w:rsidRPr="00EA21C5">
        <w:t xml:space="preserve">Group </w:t>
      </w:r>
      <w:r w:rsidR="00155A6B">
        <w:t>p</w:t>
      </w:r>
      <w:r w:rsidRPr="00EA21C5">
        <w:t xml:space="preserve">olicy </w:t>
      </w:r>
      <w:r w:rsidR="00155A6B">
        <w:t>n</w:t>
      </w:r>
      <w:r w:rsidRPr="00EA21C5">
        <w:t xml:space="preserve">umber </w:t>
      </w:r>
    </w:p>
    <w:p w14:paraId="1FBB7B18" w14:textId="19A35E5D" w:rsidR="00EA21C5" w:rsidRPr="00EA21C5" w:rsidRDefault="00EA21C5" w:rsidP="00EA21C5">
      <w:pPr>
        <w:pStyle w:val="webbullet1"/>
      </w:pPr>
      <w:r w:rsidRPr="00EA21C5">
        <w:t xml:space="preserve">Medigap/Insurer ID </w:t>
      </w:r>
      <w:r w:rsidR="00155A6B">
        <w:t>c</w:t>
      </w:r>
      <w:r w:rsidRPr="00EA21C5">
        <w:t xml:space="preserve">ode </w:t>
      </w:r>
    </w:p>
    <w:tbl>
      <w:tblPr>
        <w:tblW w:w="0" w:type="auto"/>
        <w:tblCellSpacing w:w="15" w:type="dxa"/>
        <w:tblInd w:w="135" w:type="dxa"/>
        <w:tblCellMar>
          <w:top w:w="15" w:type="dxa"/>
          <w:left w:w="15" w:type="dxa"/>
          <w:bottom w:w="15" w:type="dxa"/>
          <w:right w:w="15" w:type="dxa"/>
        </w:tblCellMar>
        <w:tblLook w:val="04A0" w:firstRow="1" w:lastRow="0" w:firstColumn="1" w:lastColumn="0" w:noHBand="0" w:noVBand="1"/>
      </w:tblPr>
      <w:tblGrid>
        <w:gridCol w:w="3420"/>
        <w:gridCol w:w="2610"/>
        <w:gridCol w:w="3690"/>
      </w:tblGrid>
      <w:tr w:rsidR="00EA21C5" w:rsidRPr="00EA21C5" w14:paraId="3FA9BBB1" w14:textId="77777777" w:rsidTr="00155A6B">
        <w:trPr>
          <w:tblCellSpacing w:w="15" w:type="dxa"/>
        </w:trPr>
        <w:tc>
          <w:tcPr>
            <w:tcW w:w="5985" w:type="dxa"/>
            <w:gridSpan w:val="2"/>
            <w:vAlign w:val="center"/>
            <w:hideMark/>
          </w:tcPr>
          <w:p w14:paraId="766DF81F" w14:textId="1F2A66D1" w:rsidR="00EA21C5" w:rsidRPr="00322256" w:rsidRDefault="00EA21C5" w:rsidP="00322256">
            <w:pPr>
              <w:pStyle w:val="webnormal"/>
            </w:pPr>
            <w:r w:rsidRPr="00322256">
              <w:t xml:space="preserve">Electronic </w:t>
            </w:r>
            <w:r w:rsidR="00155A6B">
              <w:t>c</w:t>
            </w:r>
            <w:r w:rsidRPr="00322256">
              <w:t>laims</w:t>
            </w:r>
          </w:p>
        </w:tc>
        <w:tc>
          <w:tcPr>
            <w:tcW w:w="3645" w:type="dxa"/>
            <w:vAlign w:val="center"/>
            <w:hideMark/>
          </w:tcPr>
          <w:p w14:paraId="73D4A423" w14:textId="77777777" w:rsidR="00EA21C5" w:rsidRPr="00322256" w:rsidRDefault="00EA21C5" w:rsidP="00322256">
            <w:pPr>
              <w:pStyle w:val="webnormal"/>
            </w:pPr>
            <w:r w:rsidRPr="00322256">
              <w:t>Paper</w:t>
            </w:r>
          </w:p>
        </w:tc>
      </w:tr>
      <w:tr w:rsidR="00EA21C5" w:rsidRPr="00EA21C5" w14:paraId="453D915E" w14:textId="77777777" w:rsidTr="00155A6B">
        <w:trPr>
          <w:tblCellSpacing w:w="15" w:type="dxa"/>
        </w:trPr>
        <w:tc>
          <w:tcPr>
            <w:tcW w:w="3375" w:type="dxa"/>
            <w:vAlign w:val="center"/>
            <w:hideMark/>
          </w:tcPr>
          <w:p w14:paraId="6D923B35" w14:textId="77777777" w:rsidR="00EA21C5" w:rsidRPr="00EA21C5" w:rsidRDefault="00EA21C5" w:rsidP="00EA21C5">
            <w:pPr>
              <w:pStyle w:val="webnormal"/>
            </w:pPr>
            <w:r w:rsidRPr="00EA21C5">
              <w:t>Item</w:t>
            </w:r>
          </w:p>
        </w:tc>
        <w:tc>
          <w:tcPr>
            <w:tcW w:w="2580" w:type="dxa"/>
            <w:vAlign w:val="center"/>
            <w:hideMark/>
          </w:tcPr>
          <w:p w14:paraId="1DF64C27" w14:textId="77777777" w:rsidR="00EA21C5" w:rsidRPr="00EA21C5" w:rsidRDefault="00EA21C5" w:rsidP="001A4240">
            <w:pPr>
              <w:pStyle w:val="webnormal"/>
            </w:pPr>
            <w:r w:rsidRPr="00EA21C5">
              <w:t>ANSI ASC X12 n 837</w:t>
            </w:r>
            <w:r w:rsidRPr="00EA21C5">
              <w:br/>
              <w:t>Version</w:t>
            </w:r>
            <w:r w:rsidR="001A4240">
              <w:t xml:space="preserve"> 5010</w:t>
            </w:r>
          </w:p>
        </w:tc>
        <w:tc>
          <w:tcPr>
            <w:tcW w:w="3645" w:type="dxa"/>
            <w:vAlign w:val="center"/>
            <w:hideMark/>
          </w:tcPr>
          <w:p w14:paraId="0CD43D3A" w14:textId="6C0650DF" w:rsidR="00EA21C5" w:rsidRPr="00EA21C5" w:rsidRDefault="00EA21C5" w:rsidP="0026493C">
            <w:pPr>
              <w:pStyle w:val="webnormal"/>
            </w:pPr>
            <w:r w:rsidRPr="00EA21C5">
              <w:t xml:space="preserve">CMS -1500 </w:t>
            </w:r>
            <w:r w:rsidR="00D47B5D" w:rsidRPr="0026493C">
              <w:t>(02/12)</w:t>
            </w:r>
            <w:r w:rsidR="00D47B5D">
              <w:t xml:space="preserve"> </w:t>
            </w:r>
            <w:r w:rsidR="00155A6B">
              <w:t>c</w:t>
            </w:r>
            <w:r w:rsidRPr="00EA21C5">
              <w:t xml:space="preserve">laim </w:t>
            </w:r>
            <w:r w:rsidR="00155A6B">
              <w:t>f</w:t>
            </w:r>
            <w:r w:rsidRPr="00EA21C5">
              <w:t>orm</w:t>
            </w:r>
          </w:p>
        </w:tc>
      </w:tr>
      <w:tr w:rsidR="00EA21C5" w:rsidRPr="00EA21C5" w14:paraId="551319E3" w14:textId="77777777" w:rsidTr="00155A6B">
        <w:trPr>
          <w:tblCellSpacing w:w="15" w:type="dxa"/>
        </w:trPr>
        <w:tc>
          <w:tcPr>
            <w:tcW w:w="3375" w:type="dxa"/>
            <w:vAlign w:val="center"/>
            <w:hideMark/>
          </w:tcPr>
          <w:p w14:paraId="65FE9EEF" w14:textId="4AD0198E" w:rsidR="00EA21C5" w:rsidRPr="00EA21C5" w:rsidRDefault="00EA21C5" w:rsidP="00EA21C5">
            <w:pPr>
              <w:pStyle w:val="webnormal"/>
            </w:pPr>
            <w:r w:rsidRPr="00EA21C5">
              <w:t xml:space="preserve">Group </w:t>
            </w:r>
            <w:r w:rsidR="00155A6B">
              <w:t>p</w:t>
            </w:r>
            <w:r w:rsidRPr="00EA21C5">
              <w:t xml:space="preserve">olicy </w:t>
            </w:r>
            <w:r w:rsidR="00155A6B">
              <w:t>n</w:t>
            </w:r>
            <w:r w:rsidRPr="00EA21C5">
              <w:t>umber</w:t>
            </w:r>
          </w:p>
        </w:tc>
        <w:tc>
          <w:tcPr>
            <w:tcW w:w="2580" w:type="dxa"/>
            <w:vAlign w:val="center"/>
            <w:hideMark/>
          </w:tcPr>
          <w:p w14:paraId="74242437" w14:textId="77777777" w:rsidR="00EA21C5" w:rsidRPr="00EA21C5" w:rsidRDefault="00EA21C5" w:rsidP="00892811">
            <w:pPr>
              <w:pStyle w:val="webnormal"/>
            </w:pPr>
            <w:r w:rsidRPr="00EA21C5">
              <w:t>2320 Loop</w:t>
            </w:r>
            <w:r w:rsidRPr="00EA21C5">
              <w:br/>
              <w:t>SBR 03</w:t>
            </w:r>
          </w:p>
        </w:tc>
        <w:tc>
          <w:tcPr>
            <w:tcW w:w="3645" w:type="dxa"/>
            <w:vAlign w:val="center"/>
            <w:hideMark/>
          </w:tcPr>
          <w:p w14:paraId="298E59AD" w14:textId="77777777" w:rsidR="00EA21C5" w:rsidRPr="00EA21C5" w:rsidRDefault="00EA21C5" w:rsidP="00EA21C5">
            <w:pPr>
              <w:pStyle w:val="webnormal"/>
            </w:pPr>
            <w:r w:rsidRPr="00EA21C5">
              <w:t>Item 9a</w:t>
            </w:r>
          </w:p>
        </w:tc>
      </w:tr>
      <w:tr w:rsidR="00EA21C5" w:rsidRPr="00EA21C5" w14:paraId="73FD8887" w14:textId="77777777" w:rsidTr="00155A6B">
        <w:trPr>
          <w:tblCellSpacing w:w="15" w:type="dxa"/>
        </w:trPr>
        <w:tc>
          <w:tcPr>
            <w:tcW w:w="3375" w:type="dxa"/>
            <w:vAlign w:val="center"/>
            <w:hideMark/>
          </w:tcPr>
          <w:p w14:paraId="58D503B6" w14:textId="06A0B783" w:rsidR="00EA21C5" w:rsidRPr="00EA21C5" w:rsidRDefault="00EA21C5" w:rsidP="00EA21C5">
            <w:pPr>
              <w:pStyle w:val="webnormal"/>
            </w:pPr>
            <w:r w:rsidRPr="00EA21C5">
              <w:t xml:space="preserve">Medigap </w:t>
            </w:r>
            <w:r w:rsidR="00155A6B">
              <w:t>i</w:t>
            </w:r>
            <w:r w:rsidRPr="00EA21C5">
              <w:t xml:space="preserve">nsurer ID </w:t>
            </w:r>
            <w:r w:rsidR="00155A6B">
              <w:t>c</w:t>
            </w:r>
            <w:r w:rsidRPr="00EA21C5">
              <w:t>ode</w:t>
            </w:r>
          </w:p>
        </w:tc>
        <w:tc>
          <w:tcPr>
            <w:tcW w:w="2580" w:type="dxa"/>
            <w:vAlign w:val="center"/>
            <w:hideMark/>
          </w:tcPr>
          <w:p w14:paraId="7EFC4CAF" w14:textId="77777777" w:rsidR="00EA21C5" w:rsidRPr="00EA21C5" w:rsidRDefault="00EA21C5" w:rsidP="00892811">
            <w:pPr>
              <w:pStyle w:val="webnormal"/>
            </w:pPr>
            <w:r w:rsidRPr="00EA21C5">
              <w:t>2330B Loop</w:t>
            </w:r>
            <w:r w:rsidRPr="00EA21C5">
              <w:br/>
              <w:t>NM1 09</w:t>
            </w:r>
          </w:p>
        </w:tc>
        <w:tc>
          <w:tcPr>
            <w:tcW w:w="3645" w:type="dxa"/>
            <w:vAlign w:val="center"/>
            <w:hideMark/>
          </w:tcPr>
          <w:p w14:paraId="3016C12C" w14:textId="77777777" w:rsidR="00EA21C5" w:rsidRPr="00EA21C5" w:rsidRDefault="00EA21C5" w:rsidP="00EA21C5">
            <w:pPr>
              <w:pStyle w:val="webnormal"/>
            </w:pPr>
            <w:r w:rsidRPr="00EA21C5">
              <w:t>Item 9d</w:t>
            </w:r>
          </w:p>
        </w:tc>
      </w:tr>
      <w:tr w:rsidR="00EA21C5" w:rsidRPr="00EA21C5" w14:paraId="1272F6C0" w14:textId="77777777" w:rsidTr="00155A6B">
        <w:trPr>
          <w:tblCellSpacing w:w="15" w:type="dxa"/>
        </w:trPr>
        <w:tc>
          <w:tcPr>
            <w:tcW w:w="3375" w:type="dxa"/>
            <w:vAlign w:val="center"/>
            <w:hideMark/>
          </w:tcPr>
          <w:p w14:paraId="606B9130" w14:textId="3AD0CADB" w:rsidR="00EA21C5" w:rsidRPr="00EA21C5" w:rsidRDefault="00EA21C5" w:rsidP="00EA21C5">
            <w:pPr>
              <w:pStyle w:val="webnormal"/>
            </w:pPr>
            <w:r w:rsidRPr="00EA21C5">
              <w:t xml:space="preserve">Release of </w:t>
            </w:r>
            <w:r w:rsidR="00155A6B">
              <w:t>i</w:t>
            </w:r>
            <w:r w:rsidRPr="00EA21C5">
              <w:t xml:space="preserve">nformation </w:t>
            </w:r>
            <w:r w:rsidR="00155A6B">
              <w:t>i</w:t>
            </w:r>
            <w:r w:rsidRPr="00EA21C5">
              <w:t>ndicator</w:t>
            </w:r>
          </w:p>
        </w:tc>
        <w:tc>
          <w:tcPr>
            <w:tcW w:w="2580" w:type="dxa"/>
            <w:vAlign w:val="center"/>
            <w:hideMark/>
          </w:tcPr>
          <w:p w14:paraId="19ADB8E1" w14:textId="77777777" w:rsidR="00EA21C5" w:rsidRPr="00EA21C5" w:rsidRDefault="00EA21C5" w:rsidP="00892811">
            <w:pPr>
              <w:pStyle w:val="webnormal"/>
            </w:pPr>
            <w:r w:rsidRPr="00EA21C5">
              <w:t>2320 Loop</w:t>
            </w:r>
            <w:r w:rsidRPr="00EA21C5">
              <w:br/>
              <w:t>O</w:t>
            </w:r>
            <w:r w:rsidR="00892811">
              <w:t>I</w:t>
            </w:r>
            <w:r w:rsidRPr="00EA21C5">
              <w:t xml:space="preserve"> 06</w:t>
            </w:r>
          </w:p>
        </w:tc>
        <w:tc>
          <w:tcPr>
            <w:tcW w:w="3645" w:type="dxa"/>
            <w:vAlign w:val="center"/>
            <w:hideMark/>
          </w:tcPr>
          <w:p w14:paraId="389A4C6E" w14:textId="77777777" w:rsidR="00EA21C5" w:rsidRPr="00EA21C5" w:rsidRDefault="00EA21C5" w:rsidP="00EA21C5">
            <w:pPr>
              <w:pStyle w:val="webnormal"/>
            </w:pPr>
            <w:r w:rsidRPr="00EA21C5">
              <w:t>N/A</w:t>
            </w:r>
          </w:p>
        </w:tc>
      </w:tr>
    </w:tbl>
    <w:p w14:paraId="3521FDCF" w14:textId="77777777" w:rsidR="00292D3F" w:rsidRPr="00292D3F" w:rsidRDefault="00292D3F" w:rsidP="00292D3F">
      <w:pPr>
        <w:pStyle w:val="webnormal"/>
      </w:pPr>
      <w:r w:rsidRPr="00292D3F">
        <w:t xml:space="preserve">Medicare will automatically advise the Medigap insurer of Medicare's approved amount and payment for the billed services. The Medigap insurer can then determine their liability and make payment to the participating provider. This "one-step" billing eliminates the need for you to submit a separate bill to the patient or their Medigap insurer after receiving Medicare's payment. </w:t>
      </w:r>
    </w:p>
    <w:p w14:paraId="7412BC1F" w14:textId="77777777" w:rsidR="00292D3F" w:rsidRPr="00292D3F" w:rsidRDefault="00292D3F" w:rsidP="00292D3F">
      <w:pPr>
        <w:pStyle w:val="webnormal"/>
      </w:pPr>
      <w:r w:rsidRPr="00292D3F">
        <w:t xml:space="preserve">For additional information for placement of Medigap information on the claim form, please refer to the </w:t>
      </w:r>
      <w:hyperlink r:id="rId9" w:history="1">
        <w:r w:rsidRPr="00292D3F">
          <w:rPr>
            <w:rStyle w:val="Hyperlink"/>
          </w:rPr>
          <w:t>Completion of CMS-1500 (02-12) claim form</w:t>
        </w:r>
      </w:hyperlink>
      <w:r w:rsidRPr="00292D3F">
        <w:rPr>
          <w:rStyle w:val="Hyperlink"/>
        </w:rPr>
        <w:t xml:space="preserve"> </w:t>
      </w:r>
      <w:r w:rsidRPr="00292D3F">
        <w:t>document on our website.</w:t>
      </w:r>
    </w:p>
    <w:p w14:paraId="0979A7B7" w14:textId="10C47442" w:rsidR="009178B3" w:rsidRDefault="009178B3" w:rsidP="009178B3">
      <w:pPr>
        <w:pStyle w:val="webheader2"/>
      </w:pPr>
      <w:r>
        <w:t>References</w:t>
      </w:r>
    </w:p>
    <w:p w14:paraId="558FA66D" w14:textId="197F2C70" w:rsidR="009178B3" w:rsidRPr="009178B3" w:rsidRDefault="003E5704" w:rsidP="000F2CCD">
      <w:pPr>
        <w:pStyle w:val="webbullet1"/>
      </w:pPr>
      <w:hyperlink r:id="rId10" w:history="1">
        <w:r w:rsidR="009178B3" w:rsidRPr="009178B3">
          <w:rPr>
            <w:rStyle w:val="Hyperlink"/>
          </w:rPr>
          <w:t>Coordination of Benefits Agreement</w:t>
        </w:r>
      </w:hyperlink>
    </w:p>
    <w:p w14:paraId="3C272D74" w14:textId="5BACCDE2" w:rsidR="009178B3" w:rsidRDefault="003E5704" w:rsidP="000F2CCD">
      <w:pPr>
        <w:pStyle w:val="webbullet1"/>
      </w:pPr>
      <w:hyperlink r:id="rId11" w:history="1">
        <w:r w:rsidR="009178B3" w:rsidRPr="009178B3">
          <w:rPr>
            <w:rStyle w:val="Hyperlink"/>
          </w:rPr>
          <w:t>COBA Trading Partners</w:t>
        </w:r>
      </w:hyperlink>
    </w:p>
    <w:p w14:paraId="0F634E81" w14:textId="05814E9F" w:rsidR="00292D3F" w:rsidRDefault="003E5704" w:rsidP="000F2CCD">
      <w:pPr>
        <w:pStyle w:val="webbullet1"/>
      </w:pPr>
      <w:hyperlink r:id="rId12" w:history="1">
        <w:r w:rsidR="00292D3F" w:rsidRPr="000F2CCD">
          <w:rPr>
            <w:rStyle w:val="Hyperlink"/>
          </w:rPr>
          <w:t>COBA Trading Partners Customer Service Contacts - June 2022</w:t>
        </w:r>
      </w:hyperlink>
      <w:r w:rsidR="000F2CCD">
        <w:t xml:space="preserve"> (list of automatic crossover Trading Partners in production)</w:t>
      </w:r>
    </w:p>
    <w:p w14:paraId="4CB1EAB9" w14:textId="41FC4232" w:rsidR="000F2CCD" w:rsidRPr="009178B3" w:rsidRDefault="000F2CCD" w:rsidP="000F2CCD">
      <w:pPr>
        <w:pStyle w:val="webbullet1"/>
      </w:pPr>
      <w:r>
        <w:t xml:space="preserve">MLN Matters Article SE0909 - </w:t>
      </w:r>
      <w:r w:rsidRPr="000F2CCD">
        <w:t>Important</w:t>
      </w:r>
      <w:r>
        <w:t xml:space="preserve"> i</w:t>
      </w:r>
      <w:r w:rsidRPr="000F2CCD">
        <w:t>nformation</w:t>
      </w:r>
      <w:r>
        <w:t xml:space="preserve"> r</w:t>
      </w:r>
      <w:r w:rsidRPr="000F2CCD">
        <w:t xml:space="preserve">egarding the Centers for Medicare &amp; Medicaid Services (CMS) </w:t>
      </w:r>
      <w:r>
        <w:t>n</w:t>
      </w:r>
      <w:r w:rsidRPr="000F2CCD">
        <w:t xml:space="preserve">ational </w:t>
      </w:r>
      <w:r>
        <w:t>c</w:t>
      </w:r>
      <w:r w:rsidRPr="000F2CCD">
        <w:t xml:space="preserve">laims </w:t>
      </w:r>
      <w:r>
        <w:t>c</w:t>
      </w:r>
      <w:r w:rsidRPr="000F2CCD">
        <w:t>rossover</w:t>
      </w:r>
      <w:r>
        <w:t xml:space="preserve"> p</w:t>
      </w:r>
      <w:r w:rsidRPr="000F2CCD">
        <w:t>rocess</w:t>
      </w:r>
    </w:p>
    <w:sectPr w:rsidR="000F2CCD" w:rsidRPr="009178B3"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9396FC9"/>
    <w:multiLevelType w:val="multilevel"/>
    <w:tmpl w:val="5DD2AF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19787B"/>
    <w:multiLevelType w:val="multilevel"/>
    <w:tmpl w:val="D1EC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2467518">
    <w:abstractNumId w:val="12"/>
  </w:num>
  <w:num w:numId="2" w16cid:durableId="1593126649">
    <w:abstractNumId w:val="15"/>
  </w:num>
  <w:num w:numId="3" w16cid:durableId="479687586">
    <w:abstractNumId w:val="10"/>
  </w:num>
  <w:num w:numId="4" w16cid:durableId="131484283">
    <w:abstractNumId w:val="18"/>
  </w:num>
  <w:num w:numId="5" w16cid:durableId="144276032">
    <w:abstractNumId w:val="14"/>
  </w:num>
  <w:num w:numId="6" w16cid:durableId="181167637">
    <w:abstractNumId w:val="16"/>
  </w:num>
  <w:num w:numId="7" w16cid:durableId="1147436265">
    <w:abstractNumId w:val="14"/>
  </w:num>
  <w:num w:numId="8" w16cid:durableId="1353454372">
    <w:abstractNumId w:val="18"/>
  </w:num>
  <w:num w:numId="9" w16cid:durableId="16393401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79345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3535789">
    <w:abstractNumId w:val="12"/>
  </w:num>
  <w:num w:numId="12" w16cid:durableId="1810825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4559850">
    <w:abstractNumId w:val="9"/>
  </w:num>
  <w:num w:numId="14" w16cid:durableId="571431218">
    <w:abstractNumId w:val="7"/>
  </w:num>
  <w:num w:numId="15" w16cid:durableId="1510175364">
    <w:abstractNumId w:val="6"/>
  </w:num>
  <w:num w:numId="16" w16cid:durableId="522741418">
    <w:abstractNumId w:val="5"/>
  </w:num>
  <w:num w:numId="17" w16cid:durableId="288097628">
    <w:abstractNumId w:val="4"/>
  </w:num>
  <w:num w:numId="18" w16cid:durableId="977537372">
    <w:abstractNumId w:val="8"/>
  </w:num>
  <w:num w:numId="19" w16cid:durableId="975258114">
    <w:abstractNumId w:val="3"/>
  </w:num>
  <w:num w:numId="20" w16cid:durableId="393235455">
    <w:abstractNumId w:val="2"/>
  </w:num>
  <w:num w:numId="21" w16cid:durableId="970553347">
    <w:abstractNumId w:val="1"/>
  </w:num>
  <w:num w:numId="22" w16cid:durableId="1408958610">
    <w:abstractNumId w:val="0"/>
  </w:num>
  <w:num w:numId="23" w16cid:durableId="264728891">
    <w:abstractNumId w:val="17"/>
  </w:num>
  <w:num w:numId="24" w16cid:durableId="2133281808">
    <w:abstractNumId w:val="13"/>
  </w:num>
  <w:num w:numId="25" w16cid:durableId="57281659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E3"/>
    <w:rsid w:val="000C1D4A"/>
    <w:rsid w:val="000F2CCD"/>
    <w:rsid w:val="000F7868"/>
    <w:rsid w:val="00130DF9"/>
    <w:rsid w:val="00145DCD"/>
    <w:rsid w:val="00146497"/>
    <w:rsid w:val="00155A6B"/>
    <w:rsid w:val="00157BBA"/>
    <w:rsid w:val="001A0AB9"/>
    <w:rsid w:val="001A4240"/>
    <w:rsid w:val="001C4E73"/>
    <w:rsid w:val="00202A27"/>
    <w:rsid w:val="0026493C"/>
    <w:rsid w:val="00272E35"/>
    <w:rsid w:val="00292D3F"/>
    <w:rsid w:val="00305975"/>
    <w:rsid w:val="0031305B"/>
    <w:rsid w:val="00322256"/>
    <w:rsid w:val="00391469"/>
    <w:rsid w:val="003E5704"/>
    <w:rsid w:val="004162AE"/>
    <w:rsid w:val="004714B0"/>
    <w:rsid w:val="0049375B"/>
    <w:rsid w:val="004A094B"/>
    <w:rsid w:val="004C3235"/>
    <w:rsid w:val="00507E33"/>
    <w:rsid w:val="005134AC"/>
    <w:rsid w:val="00632C35"/>
    <w:rsid w:val="00691F2B"/>
    <w:rsid w:val="006E3869"/>
    <w:rsid w:val="0073729C"/>
    <w:rsid w:val="00767D67"/>
    <w:rsid w:val="007925FC"/>
    <w:rsid w:val="007B479D"/>
    <w:rsid w:val="007D24BF"/>
    <w:rsid w:val="00803F9D"/>
    <w:rsid w:val="008123FC"/>
    <w:rsid w:val="008571B5"/>
    <w:rsid w:val="00861C2B"/>
    <w:rsid w:val="0088323E"/>
    <w:rsid w:val="00892811"/>
    <w:rsid w:val="008A0E01"/>
    <w:rsid w:val="008C4801"/>
    <w:rsid w:val="008C7A5F"/>
    <w:rsid w:val="008F343B"/>
    <w:rsid w:val="009178B3"/>
    <w:rsid w:val="009312AD"/>
    <w:rsid w:val="009811F7"/>
    <w:rsid w:val="00986FB4"/>
    <w:rsid w:val="009B33E3"/>
    <w:rsid w:val="009C7734"/>
    <w:rsid w:val="009F651E"/>
    <w:rsid w:val="00A17FDB"/>
    <w:rsid w:val="00A37DBD"/>
    <w:rsid w:val="00AD7C39"/>
    <w:rsid w:val="00B2746C"/>
    <w:rsid w:val="00B95700"/>
    <w:rsid w:val="00BE35C1"/>
    <w:rsid w:val="00C16A79"/>
    <w:rsid w:val="00C261AE"/>
    <w:rsid w:val="00C719C3"/>
    <w:rsid w:val="00D0302A"/>
    <w:rsid w:val="00D05EB8"/>
    <w:rsid w:val="00D11DDE"/>
    <w:rsid w:val="00D13FE2"/>
    <w:rsid w:val="00D47B5D"/>
    <w:rsid w:val="00E60C0C"/>
    <w:rsid w:val="00E635D6"/>
    <w:rsid w:val="00EA21C5"/>
    <w:rsid w:val="00EA3DF1"/>
    <w:rsid w:val="00EA68CB"/>
    <w:rsid w:val="00F23054"/>
    <w:rsid w:val="00FC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6DB38"/>
  <w15:docId w15:val="{38799FC5-3932-4A09-9955-7CF99DD1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paragraph" w:styleId="Heading1">
    <w:name w:val="heading 1"/>
    <w:basedOn w:val="Normal"/>
    <w:next w:val="Normal"/>
    <w:link w:val="Heading1Char"/>
    <w:uiPriority w:val="9"/>
    <w:qFormat/>
    <w:locked/>
    <w:rsid w:val="00EA21C5"/>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1Char">
    <w:name w:val="Heading 1 Char"/>
    <w:basedOn w:val="DefaultParagraphFont"/>
    <w:link w:val="Heading1"/>
    <w:uiPriority w:val="9"/>
    <w:rsid w:val="00EA21C5"/>
    <w:rPr>
      <w:rFonts w:asciiTheme="majorHAnsi" w:eastAsiaTheme="majorEastAsia" w:hAnsiTheme="majorHAnsi" w:cstheme="majorBidi"/>
      <w:b/>
      <w:bCs/>
      <w:color w:val="365F91" w:themeColor="accent1" w:themeShade="BF"/>
    </w:rPr>
  </w:style>
  <w:style w:type="paragraph" w:styleId="NormalWeb">
    <w:name w:val="Normal (Web)"/>
    <w:basedOn w:val="Normal"/>
    <w:uiPriority w:val="99"/>
    <w:semiHidden/>
    <w:unhideWhenUsed/>
    <w:locked/>
    <w:rsid w:val="00EA21C5"/>
    <w:rPr>
      <w:rFonts w:ascii="Times New Roman" w:hAnsi="Times New Roman"/>
      <w:sz w:val="24"/>
      <w:szCs w:val="24"/>
    </w:rPr>
  </w:style>
  <w:style w:type="character" w:styleId="Strong">
    <w:name w:val="Strong"/>
    <w:basedOn w:val="DefaultParagraphFont"/>
    <w:uiPriority w:val="22"/>
    <w:qFormat/>
    <w:locked/>
    <w:rsid w:val="00EA21C5"/>
    <w:rPr>
      <w:b/>
      <w:bCs/>
    </w:rPr>
  </w:style>
  <w:style w:type="character" w:styleId="Emphasis">
    <w:name w:val="Emphasis"/>
    <w:basedOn w:val="DefaultParagraphFont"/>
    <w:uiPriority w:val="20"/>
    <w:qFormat/>
    <w:locked/>
    <w:rsid w:val="00EA21C5"/>
    <w:rPr>
      <w:i/>
      <w:iCs/>
    </w:rPr>
  </w:style>
  <w:style w:type="character" w:styleId="CommentReference">
    <w:name w:val="annotation reference"/>
    <w:basedOn w:val="DefaultParagraphFont"/>
    <w:uiPriority w:val="99"/>
    <w:semiHidden/>
    <w:unhideWhenUsed/>
    <w:locked/>
    <w:rsid w:val="0031305B"/>
    <w:rPr>
      <w:sz w:val="16"/>
      <w:szCs w:val="16"/>
    </w:rPr>
  </w:style>
  <w:style w:type="paragraph" w:styleId="CommentText">
    <w:name w:val="annotation text"/>
    <w:basedOn w:val="Normal"/>
    <w:link w:val="CommentTextChar"/>
    <w:uiPriority w:val="99"/>
    <w:semiHidden/>
    <w:unhideWhenUsed/>
    <w:locked/>
    <w:rsid w:val="0031305B"/>
    <w:rPr>
      <w:sz w:val="20"/>
      <w:szCs w:val="20"/>
    </w:rPr>
  </w:style>
  <w:style w:type="character" w:customStyle="1" w:styleId="CommentTextChar">
    <w:name w:val="Comment Text Char"/>
    <w:basedOn w:val="DefaultParagraphFont"/>
    <w:link w:val="CommentText"/>
    <w:uiPriority w:val="99"/>
    <w:semiHidden/>
    <w:rsid w:val="0031305B"/>
    <w:rPr>
      <w:sz w:val="20"/>
      <w:szCs w:val="20"/>
    </w:rPr>
  </w:style>
  <w:style w:type="paragraph" w:styleId="CommentSubject">
    <w:name w:val="annotation subject"/>
    <w:basedOn w:val="CommentText"/>
    <w:next w:val="CommentText"/>
    <w:link w:val="CommentSubjectChar"/>
    <w:uiPriority w:val="99"/>
    <w:semiHidden/>
    <w:unhideWhenUsed/>
    <w:locked/>
    <w:rsid w:val="0031305B"/>
    <w:rPr>
      <w:b/>
      <w:bCs/>
    </w:rPr>
  </w:style>
  <w:style w:type="character" w:customStyle="1" w:styleId="CommentSubjectChar">
    <w:name w:val="Comment Subject Char"/>
    <w:basedOn w:val="CommentTextChar"/>
    <w:link w:val="CommentSubject"/>
    <w:uiPriority w:val="99"/>
    <w:semiHidden/>
    <w:rsid w:val="0031305B"/>
    <w:rPr>
      <w:b/>
      <w:bCs/>
      <w:sz w:val="20"/>
      <w:szCs w:val="20"/>
    </w:rPr>
  </w:style>
  <w:style w:type="character" w:styleId="UnresolvedMention">
    <w:name w:val="Unresolved Mention"/>
    <w:basedOn w:val="DefaultParagraphFont"/>
    <w:uiPriority w:val="99"/>
    <w:semiHidden/>
    <w:unhideWhenUsed/>
    <w:rsid w:val="00A17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44965">
      <w:bodyDiv w:val="1"/>
      <w:marLeft w:val="0"/>
      <w:marRight w:val="0"/>
      <w:marTop w:val="0"/>
      <w:marBottom w:val="0"/>
      <w:divBdr>
        <w:top w:val="none" w:sz="0" w:space="0" w:color="auto"/>
        <w:left w:val="none" w:sz="0" w:space="0" w:color="auto"/>
        <w:bottom w:val="none" w:sz="0" w:space="0" w:color="auto"/>
        <w:right w:val="none" w:sz="0" w:space="0" w:color="auto"/>
      </w:divBdr>
      <w:divsChild>
        <w:div w:id="1595429891">
          <w:marLeft w:val="0"/>
          <w:marRight w:val="0"/>
          <w:marTop w:val="0"/>
          <w:marBottom w:val="0"/>
          <w:divBdr>
            <w:top w:val="none" w:sz="0" w:space="0" w:color="auto"/>
            <w:left w:val="none" w:sz="0" w:space="0" w:color="auto"/>
            <w:bottom w:val="none" w:sz="0" w:space="0" w:color="auto"/>
            <w:right w:val="none" w:sz="0" w:space="0" w:color="auto"/>
          </w:divBdr>
          <w:divsChild>
            <w:div w:id="129902582">
              <w:marLeft w:val="0"/>
              <w:marRight w:val="0"/>
              <w:marTop w:val="0"/>
              <w:marBottom w:val="0"/>
              <w:divBdr>
                <w:top w:val="none" w:sz="0" w:space="0" w:color="auto"/>
                <w:left w:val="none" w:sz="0" w:space="0" w:color="auto"/>
                <w:bottom w:val="none" w:sz="0" w:space="0" w:color="auto"/>
                <w:right w:val="none" w:sz="0" w:space="0" w:color="auto"/>
              </w:divBdr>
            </w:div>
            <w:div w:id="300817260">
              <w:marLeft w:val="0"/>
              <w:marRight w:val="0"/>
              <w:marTop w:val="0"/>
              <w:marBottom w:val="0"/>
              <w:divBdr>
                <w:top w:val="none" w:sz="0" w:space="0" w:color="auto"/>
                <w:left w:val="none" w:sz="0" w:space="0" w:color="auto"/>
                <w:bottom w:val="none" w:sz="0" w:space="0" w:color="auto"/>
                <w:right w:val="none" w:sz="0" w:space="0" w:color="auto"/>
              </w:divBdr>
            </w:div>
            <w:div w:id="1629387539">
              <w:marLeft w:val="0"/>
              <w:marRight w:val="0"/>
              <w:marTop w:val="0"/>
              <w:marBottom w:val="0"/>
              <w:divBdr>
                <w:top w:val="none" w:sz="0" w:space="0" w:color="auto"/>
                <w:left w:val="none" w:sz="0" w:space="0" w:color="auto"/>
                <w:bottom w:val="none" w:sz="0" w:space="0" w:color="auto"/>
                <w:right w:val="none" w:sz="0" w:space="0" w:color="auto"/>
              </w:divBdr>
            </w:div>
            <w:div w:id="757142058">
              <w:marLeft w:val="0"/>
              <w:marRight w:val="0"/>
              <w:marTop w:val="0"/>
              <w:marBottom w:val="0"/>
              <w:divBdr>
                <w:top w:val="none" w:sz="0" w:space="0" w:color="auto"/>
                <w:left w:val="none" w:sz="0" w:space="0" w:color="auto"/>
                <w:bottom w:val="none" w:sz="0" w:space="0" w:color="auto"/>
                <w:right w:val="none" w:sz="0" w:space="0" w:color="auto"/>
              </w:divBdr>
            </w:div>
            <w:div w:id="190698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58692">
      <w:bodyDiv w:val="1"/>
      <w:marLeft w:val="0"/>
      <w:marRight w:val="0"/>
      <w:marTop w:val="0"/>
      <w:marBottom w:val="0"/>
      <w:divBdr>
        <w:top w:val="none" w:sz="0" w:space="0" w:color="auto"/>
        <w:left w:val="none" w:sz="0" w:space="0" w:color="auto"/>
        <w:bottom w:val="none" w:sz="0" w:space="0" w:color="auto"/>
        <w:right w:val="none" w:sz="0" w:space="0" w:color="auto"/>
      </w:divBdr>
    </w:div>
    <w:div w:id="712776049">
      <w:bodyDiv w:val="1"/>
      <w:marLeft w:val="0"/>
      <w:marRight w:val="0"/>
      <w:marTop w:val="0"/>
      <w:marBottom w:val="0"/>
      <w:divBdr>
        <w:top w:val="none" w:sz="0" w:space="0" w:color="auto"/>
        <w:left w:val="none" w:sz="0" w:space="0" w:color="auto"/>
        <w:bottom w:val="none" w:sz="0" w:space="0" w:color="auto"/>
        <w:right w:val="none" w:sz="0" w:space="0" w:color="auto"/>
      </w:divBdr>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1378700684">
      <w:bodyDiv w:val="1"/>
      <w:marLeft w:val="0"/>
      <w:marRight w:val="0"/>
      <w:marTop w:val="0"/>
      <w:marBottom w:val="0"/>
      <w:divBdr>
        <w:top w:val="none" w:sz="0" w:space="0" w:color="auto"/>
        <w:left w:val="none" w:sz="0" w:space="0" w:color="auto"/>
        <w:bottom w:val="none" w:sz="0" w:space="0" w:color="auto"/>
        <w:right w:val="none" w:sz="0" w:space="0" w:color="auto"/>
      </w:divBdr>
    </w:div>
    <w:div w:id="2080244363">
      <w:bodyDiv w:val="1"/>
      <w:marLeft w:val="0"/>
      <w:marRight w:val="0"/>
      <w:marTop w:val="0"/>
      <w:marBottom w:val="0"/>
      <w:divBdr>
        <w:top w:val="none" w:sz="0" w:space="0" w:color="auto"/>
        <w:left w:val="none" w:sz="0" w:space="0" w:color="auto"/>
        <w:bottom w:val="none" w:sz="0" w:space="0" w:color="auto"/>
        <w:right w:val="none" w:sz="0" w:space="0" w:color="auto"/>
      </w:divBdr>
      <w:divsChild>
        <w:div w:id="928387864">
          <w:marLeft w:val="0"/>
          <w:marRight w:val="0"/>
          <w:marTop w:val="0"/>
          <w:marBottom w:val="0"/>
          <w:divBdr>
            <w:top w:val="none" w:sz="0" w:space="0" w:color="auto"/>
            <w:left w:val="none" w:sz="0" w:space="0" w:color="auto"/>
            <w:bottom w:val="none" w:sz="0" w:space="0" w:color="auto"/>
            <w:right w:val="none" w:sz="0" w:space="0" w:color="auto"/>
          </w:divBdr>
          <w:divsChild>
            <w:div w:id="1848405507">
              <w:marLeft w:val="0"/>
              <w:marRight w:val="0"/>
              <w:marTop w:val="0"/>
              <w:marBottom w:val="0"/>
              <w:divBdr>
                <w:top w:val="none" w:sz="0" w:space="0" w:color="auto"/>
                <w:left w:val="none" w:sz="0" w:space="0" w:color="auto"/>
                <w:bottom w:val="none" w:sz="0" w:space="0" w:color="auto"/>
                <w:right w:val="none" w:sz="0" w:space="0" w:color="auto"/>
              </w:divBdr>
            </w:div>
            <w:div w:id="6101627">
              <w:marLeft w:val="0"/>
              <w:marRight w:val="0"/>
              <w:marTop w:val="0"/>
              <w:marBottom w:val="0"/>
              <w:divBdr>
                <w:top w:val="none" w:sz="0" w:space="0" w:color="auto"/>
                <w:left w:val="none" w:sz="0" w:space="0" w:color="auto"/>
                <w:bottom w:val="none" w:sz="0" w:space="0" w:color="auto"/>
                <w:right w:val="none" w:sz="0" w:space="0" w:color="auto"/>
              </w:divBdr>
            </w:div>
            <w:div w:id="1008169326">
              <w:marLeft w:val="0"/>
              <w:marRight w:val="0"/>
              <w:marTop w:val="0"/>
              <w:marBottom w:val="0"/>
              <w:divBdr>
                <w:top w:val="none" w:sz="0" w:space="0" w:color="auto"/>
                <w:left w:val="none" w:sz="0" w:space="0" w:color="auto"/>
                <w:bottom w:val="none" w:sz="0" w:space="0" w:color="auto"/>
                <w:right w:val="none" w:sz="0" w:space="0" w:color="auto"/>
              </w:divBdr>
            </w:div>
            <w:div w:id="848788576">
              <w:marLeft w:val="0"/>
              <w:marRight w:val="0"/>
              <w:marTop w:val="0"/>
              <w:marBottom w:val="0"/>
              <w:divBdr>
                <w:top w:val="none" w:sz="0" w:space="0" w:color="auto"/>
                <w:left w:val="none" w:sz="0" w:space="0" w:color="auto"/>
                <w:bottom w:val="none" w:sz="0" w:space="0" w:color="auto"/>
                <w:right w:val="none" w:sz="0" w:space="0" w:color="auto"/>
              </w:divBdr>
            </w:div>
            <w:div w:id="3679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9nj\AppData\Local\Temp\MicrosoftEdgeDownloads\01748f6b-91b6-4e4c-83ff-d2754b5b35ab\The%20Coordination%20of%20Benefits%20Agreement%20(COBA)%20Medicare%20claims%20crossover%20program%20establishes%20a%20nationally%20standard%20contract%20between%20CMS%20and%20other%20health%20insurance%20organizations%20that%20defines%20the%20criteria%20for%20transmitting%20enrollee%20eligibility%20data%20and%20Medicare%20adjudicated%20claim%20data%20to%20supplemental%20payers.%20A%20national%20claims%20crossover%20contractor,%20the%20Benefits%20Coordination%20&amp;%20Recovery%20Center%20(BCRC),%20administers%20Medicare%20claims%20crossover%20functions%20on%20CMS'%20behalf.%20The%20COBA%20Program%20allows%20for%20the%20establishment%20of%20unique%20identifiers%20(COBA%20IDs)%20to%20be%20associated%20with%20each%20contract%20and%20payer%20line%20of%20business%20and%20creates%20a%20national%20repository%20for%20COBA%20information.%20For%20more%20information,%20visit%20the%20COBA%20webpag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ms.gov/files/document/coba-trading-partners-customer-service-contacts-june-202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gov/Medicare/Coordination-of-Benefits-and-Recovery/COBA-Trading-Partners/COBA-Trading-Partners-Overview" TargetMode="External"/><Relationship Id="rId5" Type="http://schemas.openxmlformats.org/officeDocument/2006/relationships/styles" Target="styles.xml"/><Relationship Id="rId10" Type="http://schemas.openxmlformats.org/officeDocument/2006/relationships/hyperlink" Target="https://www.cms.gov/medicare/coordination-of-benefits-and-recovery/coba-trading-partners/coordination-of-benefits-agreements/coordination-of-benefits-agreement-page" TargetMode="External"/><Relationship Id="rId4" Type="http://schemas.openxmlformats.org/officeDocument/2006/relationships/numbering" Target="numbering.xml"/><Relationship Id="rId9" Type="http://schemas.openxmlformats.org/officeDocument/2006/relationships/hyperlink" Target="ddocname:0010378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6CC138-AF39-4E9A-A967-C27024A98B3A}">
  <ds:schemaRefs>
    <ds:schemaRef ds:uri="http://schemas.microsoft.com/sharepoint/v3/contenttype/forms"/>
  </ds:schemaRefs>
</ds:datastoreItem>
</file>

<file path=customXml/itemProps2.xml><?xml version="1.0" encoding="utf-8"?>
<ds:datastoreItem xmlns:ds="http://schemas.openxmlformats.org/officeDocument/2006/customXml" ds:itemID="{D1069B86-158E-4981-BEF8-CA58D0D2C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D47D27-C6B3-444B-8139-28D4050FBFE3}">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763</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Plevyak, Brad</dc:creator>
  <cp:lastModifiedBy>Keefer, Felecia</cp:lastModifiedBy>
  <cp:revision>2</cp:revision>
  <cp:lastPrinted>2013-08-22T18:47:00Z</cp:lastPrinted>
  <dcterms:created xsi:type="dcterms:W3CDTF">2023-05-03T11:48:00Z</dcterms:created>
  <dcterms:modified xsi:type="dcterms:W3CDTF">2023-05-03T11:48:00Z</dcterms:modified>
</cp:coreProperties>
</file>