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A92CC" w14:textId="77777777" w:rsidR="00782B77" w:rsidRDefault="00CC5AF3" w:rsidP="00782B77">
      <w:pPr>
        <w:pStyle w:val="webheader2"/>
      </w:pPr>
      <w:bookmarkStart w:id="0" w:name="content"/>
      <w:r>
        <w:t>Contact us by telephone - Phone n</w:t>
      </w:r>
      <w:r w:rsidR="00782B77" w:rsidRPr="00782B77">
        <w:t>umbers</w:t>
      </w:r>
      <w:bookmarkEnd w:id="0"/>
      <w:r w:rsidR="00782B77" w:rsidRPr="00782B77">
        <w:t xml:space="preserve"> </w:t>
      </w:r>
    </w:p>
    <w:p w14:paraId="7ADEA167" w14:textId="77777777" w:rsidR="002D2FB6" w:rsidRDefault="002D2FB6" w:rsidP="002D2FB6">
      <w:pPr>
        <w:pStyle w:val="webnormal"/>
      </w:pPr>
      <w:r w:rsidRPr="002D2FB6">
        <w:rPr>
          <w:rStyle w:val="webbold"/>
        </w:rPr>
        <w:t>Jurisdiction H (JH)</w:t>
      </w:r>
      <w:r w:rsidRPr="002D2FB6">
        <w:t xml:space="preserve"> includes Arkansas, Colorado, Louisiana, Mississippi, New Mexico, Oklahoma, Texas, Indian Health and Tribal facilities as well as Veterans Affairs.</w:t>
      </w:r>
    </w:p>
    <w:tbl>
      <w:tblPr>
        <w:tblW w:w="0" w:type="auto"/>
        <w:tblInd w:w="108" w:type="dxa"/>
        <w:tblLook w:val="0000" w:firstRow="0" w:lastRow="0" w:firstColumn="0" w:lastColumn="0" w:noHBand="0" w:noVBand="0"/>
      </w:tblPr>
      <w:tblGrid>
        <w:gridCol w:w="978"/>
        <w:gridCol w:w="4320"/>
        <w:gridCol w:w="2995"/>
        <w:gridCol w:w="2399"/>
      </w:tblGrid>
      <w:tr w:rsidR="008459ED" w:rsidRPr="001F152E" w14:paraId="6BB45846" w14:textId="77777777" w:rsidTr="0071045E">
        <w:tc>
          <w:tcPr>
            <w:tcW w:w="978" w:type="dxa"/>
            <w:vAlign w:val="center"/>
          </w:tcPr>
          <w:p w14:paraId="49E2F204" w14:textId="77777777" w:rsidR="008459ED" w:rsidRPr="001F152E" w:rsidRDefault="008459ED" w:rsidP="001F152E">
            <w:pPr>
              <w:pStyle w:val="webnormal"/>
            </w:pPr>
            <w:r w:rsidRPr="001F152E">
              <w:t> A/B</w:t>
            </w:r>
          </w:p>
        </w:tc>
        <w:tc>
          <w:tcPr>
            <w:tcW w:w="4320" w:type="dxa"/>
            <w:vAlign w:val="center"/>
          </w:tcPr>
          <w:p w14:paraId="226B5833" w14:textId="742D0096" w:rsidR="008459ED" w:rsidRPr="001F152E" w:rsidRDefault="008459ED" w:rsidP="001F152E">
            <w:pPr>
              <w:pStyle w:val="webnormal"/>
            </w:pPr>
            <w:r w:rsidRPr="001F152E">
              <w:t xml:space="preserve">Department / Specialty </w:t>
            </w:r>
            <w:r w:rsidR="00CC4882">
              <w:t>a</w:t>
            </w:r>
            <w:r w:rsidRPr="001F152E">
              <w:t>rea </w:t>
            </w:r>
          </w:p>
        </w:tc>
        <w:tc>
          <w:tcPr>
            <w:tcW w:w="2995" w:type="dxa"/>
            <w:vAlign w:val="center"/>
          </w:tcPr>
          <w:p w14:paraId="0B2360B7" w14:textId="149251E9" w:rsidR="008459ED" w:rsidRPr="001F152E" w:rsidRDefault="008459ED" w:rsidP="001F152E">
            <w:pPr>
              <w:pStyle w:val="webnormal"/>
            </w:pPr>
            <w:r w:rsidRPr="001F152E">
              <w:t xml:space="preserve">JH </w:t>
            </w:r>
            <w:r w:rsidR="00CC4882">
              <w:t>t</w:t>
            </w:r>
            <w:r w:rsidRPr="001F152E">
              <w:t xml:space="preserve">elephone </w:t>
            </w:r>
            <w:r w:rsidR="00CC4882">
              <w:t>n</w:t>
            </w:r>
            <w:r w:rsidRPr="001F152E">
              <w:t>umbers </w:t>
            </w:r>
          </w:p>
        </w:tc>
        <w:tc>
          <w:tcPr>
            <w:tcW w:w="2399" w:type="dxa"/>
            <w:vAlign w:val="center"/>
          </w:tcPr>
          <w:p w14:paraId="67420B32" w14:textId="2B0FD873" w:rsidR="008459ED" w:rsidRPr="001F152E" w:rsidRDefault="008459ED" w:rsidP="001F152E">
            <w:pPr>
              <w:pStyle w:val="webnormal"/>
            </w:pPr>
            <w:r w:rsidRPr="001F152E">
              <w:t xml:space="preserve">Fax </w:t>
            </w:r>
            <w:r w:rsidR="00CC4882">
              <w:t>n</w:t>
            </w:r>
            <w:r w:rsidRPr="001F152E">
              <w:t>umber </w:t>
            </w:r>
          </w:p>
        </w:tc>
      </w:tr>
      <w:tr w:rsidR="008459ED" w:rsidRPr="001F152E" w14:paraId="3AB1CAC2" w14:textId="77777777" w:rsidTr="0071045E">
        <w:tc>
          <w:tcPr>
            <w:tcW w:w="978" w:type="dxa"/>
            <w:vAlign w:val="center"/>
          </w:tcPr>
          <w:p w14:paraId="00AB70D7" w14:textId="77777777" w:rsidR="008459ED" w:rsidRPr="001F152E" w:rsidRDefault="008459ED" w:rsidP="001F152E">
            <w:pPr>
              <w:pStyle w:val="webnormal"/>
            </w:pPr>
            <w:r w:rsidRPr="001F152E">
              <w:t>AB</w:t>
            </w:r>
          </w:p>
        </w:tc>
        <w:tc>
          <w:tcPr>
            <w:tcW w:w="4320" w:type="dxa"/>
            <w:vAlign w:val="center"/>
          </w:tcPr>
          <w:p w14:paraId="4C14A1E0" w14:textId="58F9D740" w:rsidR="00F53C78" w:rsidRPr="00665721" w:rsidRDefault="00CC5AF3" w:rsidP="00665721">
            <w:pPr>
              <w:pStyle w:val="webnormal"/>
            </w:pPr>
            <w:r>
              <w:t>Provider i</w:t>
            </w:r>
            <w:r w:rsidR="008459ED" w:rsidRPr="001F152E">
              <w:t>nquiries (</w:t>
            </w:r>
            <w:hyperlink w:anchor="First" w:history="1">
              <w:r w:rsidR="008459ED" w:rsidRPr="001F152E">
                <w:rPr>
                  <w:rStyle w:val="Hyperlink"/>
                </w:rPr>
                <w:t>1</w:t>
              </w:r>
            </w:hyperlink>
            <w:r w:rsidR="008459ED" w:rsidRPr="001F152E">
              <w:t>)</w:t>
            </w:r>
          </w:p>
        </w:tc>
        <w:tc>
          <w:tcPr>
            <w:tcW w:w="2995" w:type="dxa"/>
            <w:vAlign w:val="center"/>
          </w:tcPr>
          <w:p w14:paraId="4E92E9F0" w14:textId="77777777" w:rsidR="008459ED" w:rsidRPr="001F152E" w:rsidRDefault="008459ED" w:rsidP="001F152E">
            <w:pPr>
              <w:pStyle w:val="webnormal"/>
            </w:pPr>
            <w:r w:rsidRPr="001F152E">
              <w:t>855-252-8782 </w:t>
            </w:r>
          </w:p>
        </w:tc>
        <w:tc>
          <w:tcPr>
            <w:tcW w:w="2399" w:type="dxa"/>
            <w:vAlign w:val="center"/>
          </w:tcPr>
          <w:p w14:paraId="75258024" w14:textId="77777777" w:rsidR="008459ED" w:rsidRPr="001F152E" w:rsidRDefault="00CC5AF3" w:rsidP="001F152E">
            <w:pPr>
              <w:pStyle w:val="webnormal"/>
            </w:pPr>
            <w:r>
              <w:t> </w:t>
            </w:r>
            <w:r w:rsidR="008459ED" w:rsidRPr="001F152E">
              <w:t>877-439-5479</w:t>
            </w:r>
          </w:p>
        </w:tc>
      </w:tr>
      <w:tr w:rsidR="008459ED" w:rsidRPr="001F152E" w14:paraId="60966B26" w14:textId="77777777" w:rsidTr="0071045E">
        <w:tc>
          <w:tcPr>
            <w:tcW w:w="978" w:type="dxa"/>
            <w:vAlign w:val="center"/>
          </w:tcPr>
          <w:p w14:paraId="51BC3AAF" w14:textId="77777777" w:rsidR="008459ED" w:rsidRPr="001F152E" w:rsidRDefault="008459ED" w:rsidP="001F152E">
            <w:pPr>
              <w:pStyle w:val="webnormal"/>
            </w:pPr>
            <w:r w:rsidRPr="001F152E">
              <w:t>AB</w:t>
            </w:r>
          </w:p>
        </w:tc>
        <w:tc>
          <w:tcPr>
            <w:tcW w:w="4320" w:type="dxa"/>
            <w:vAlign w:val="center"/>
          </w:tcPr>
          <w:p w14:paraId="3D242CFB" w14:textId="3005E0AD" w:rsidR="00D6433A" w:rsidRPr="001F152E" w:rsidRDefault="008459ED" w:rsidP="0011358E">
            <w:pPr>
              <w:pStyle w:val="webnormal"/>
            </w:pPr>
            <w:r w:rsidRPr="001F152E">
              <w:t xml:space="preserve">Provider </w:t>
            </w:r>
            <w:r w:rsidR="00CC5AF3">
              <w:t>interactive voice r</w:t>
            </w:r>
            <w:r w:rsidRPr="001F152E">
              <w:t>esponse</w:t>
            </w:r>
            <w:r w:rsidR="00CC5AF3">
              <w:t xml:space="preserve"> (IVR</w:t>
            </w:r>
            <w:r w:rsidRPr="001F152E">
              <w:t>) (</w:t>
            </w:r>
            <w:r w:rsidR="00CC4882">
              <w:t>c</w:t>
            </w:r>
            <w:r w:rsidRPr="001F152E">
              <w:t xml:space="preserve">laims </w:t>
            </w:r>
            <w:r w:rsidR="00CC4882">
              <w:t>i</w:t>
            </w:r>
            <w:r w:rsidRPr="001F152E">
              <w:t>nformation) (</w:t>
            </w:r>
            <w:hyperlink w:anchor="Second" w:history="1">
              <w:r w:rsidRPr="001F152E">
                <w:rPr>
                  <w:rStyle w:val="Hyperlink"/>
                </w:rPr>
                <w:t>2</w:t>
              </w:r>
            </w:hyperlink>
            <w:r w:rsidRPr="001F152E">
              <w:t>)</w:t>
            </w:r>
          </w:p>
        </w:tc>
        <w:tc>
          <w:tcPr>
            <w:tcW w:w="2995" w:type="dxa"/>
            <w:vAlign w:val="center"/>
          </w:tcPr>
          <w:p w14:paraId="2FDE781E" w14:textId="2C55AC37" w:rsidR="008459ED" w:rsidRPr="001F152E" w:rsidRDefault="008459ED" w:rsidP="001F152E">
            <w:pPr>
              <w:pStyle w:val="webnormal"/>
            </w:pPr>
            <w:r w:rsidRPr="001F152E">
              <w:t>855-252-8782</w:t>
            </w:r>
            <w:r w:rsidRPr="001F152E">
              <w:br/>
            </w:r>
            <w:r w:rsidR="00CC4882">
              <w:t>o</w:t>
            </w:r>
            <w:r w:rsidRPr="001F152E">
              <w:t>ptions 1,</w:t>
            </w:r>
            <w:r w:rsidR="004F3244">
              <w:t xml:space="preserve"> </w:t>
            </w:r>
            <w:r w:rsidRPr="001F152E">
              <w:t>or 5 </w:t>
            </w:r>
          </w:p>
        </w:tc>
        <w:tc>
          <w:tcPr>
            <w:tcW w:w="2399" w:type="dxa"/>
            <w:vAlign w:val="center"/>
          </w:tcPr>
          <w:p w14:paraId="04B2F610" w14:textId="77777777" w:rsidR="008459ED" w:rsidRPr="001F152E" w:rsidRDefault="008459ED" w:rsidP="001F152E">
            <w:pPr>
              <w:pStyle w:val="webnormal"/>
            </w:pPr>
            <w:r w:rsidRPr="001F152E">
              <w:t> </w:t>
            </w:r>
          </w:p>
        </w:tc>
      </w:tr>
      <w:tr w:rsidR="008459ED" w:rsidRPr="001F152E" w14:paraId="55DE257C" w14:textId="77777777" w:rsidTr="0071045E">
        <w:tc>
          <w:tcPr>
            <w:tcW w:w="978" w:type="dxa"/>
            <w:vAlign w:val="center"/>
          </w:tcPr>
          <w:p w14:paraId="05997882" w14:textId="77777777" w:rsidR="008459ED" w:rsidRPr="001F152E" w:rsidRDefault="008459ED" w:rsidP="001F152E">
            <w:pPr>
              <w:pStyle w:val="webnormal"/>
            </w:pPr>
            <w:r w:rsidRPr="001F152E">
              <w:t>AB</w:t>
            </w:r>
          </w:p>
        </w:tc>
        <w:tc>
          <w:tcPr>
            <w:tcW w:w="4320" w:type="dxa"/>
            <w:vAlign w:val="center"/>
          </w:tcPr>
          <w:p w14:paraId="6BB0D5B0" w14:textId="6961A70E" w:rsidR="008459ED" w:rsidRPr="001F152E" w:rsidRDefault="008459ED" w:rsidP="001F152E">
            <w:pPr>
              <w:pStyle w:val="webnormal"/>
            </w:pPr>
            <w:r w:rsidRPr="001F152E">
              <w:t>EDI Helpdesk (</w:t>
            </w:r>
            <w:hyperlink w:anchor="First" w:history="1">
              <w:r w:rsidRPr="001F152E">
                <w:rPr>
                  <w:rStyle w:val="Hyperlink"/>
                </w:rPr>
                <w:t>1</w:t>
              </w:r>
            </w:hyperlink>
            <w:r w:rsidRPr="001F152E">
              <w:t>)</w:t>
            </w:r>
            <w:r w:rsidR="00A519D7">
              <w:t xml:space="preserve"> </w:t>
            </w:r>
            <w:r w:rsidR="00A519D7" w:rsidRPr="00A519D7">
              <w:t>– Please have your PTAN, NPI and Tax ID available when calling.</w:t>
            </w:r>
          </w:p>
        </w:tc>
        <w:tc>
          <w:tcPr>
            <w:tcW w:w="2995" w:type="dxa"/>
            <w:vAlign w:val="center"/>
          </w:tcPr>
          <w:p w14:paraId="7A029F32" w14:textId="6D03EDF2" w:rsidR="008459ED" w:rsidRPr="001F152E" w:rsidRDefault="008459ED" w:rsidP="001F152E">
            <w:pPr>
              <w:pStyle w:val="webnormal"/>
            </w:pPr>
            <w:r w:rsidRPr="001F152E">
              <w:t>855-252-8782</w:t>
            </w:r>
            <w:r w:rsidRPr="001F152E">
              <w:br/>
            </w:r>
            <w:r w:rsidR="00CC4882">
              <w:t>o</w:t>
            </w:r>
            <w:r w:rsidRPr="001F152E">
              <w:t>ption 3 </w:t>
            </w:r>
          </w:p>
        </w:tc>
        <w:tc>
          <w:tcPr>
            <w:tcW w:w="2399" w:type="dxa"/>
            <w:vAlign w:val="center"/>
          </w:tcPr>
          <w:p w14:paraId="51A22E7C" w14:textId="77777777" w:rsidR="008459ED" w:rsidRPr="001F152E" w:rsidRDefault="008459ED" w:rsidP="001F152E">
            <w:pPr>
              <w:pStyle w:val="webnormal"/>
            </w:pPr>
            <w:r w:rsidRPr="001F152E">
              <w:t>877-439-5479 </w:t>
            </w:r>
          </w:p>
        </w:tc>
      </w:tr>
      <w:tr w:rsidR="008459ED" w:rsidRPr="001F152E" w14:paraId="7796E668" w14:textId="77777777" w:rsidTr="0071045E">
        <w:tc>
          <w:tcPr>
            <w:tcW w:w="978" w:type="dxa"/>
            <w:vAlign w:val="center"/>
          </w:tcPr>
          <w:p w14:paraId="4650E91A" w14:textId="77777777" w:rsidR="008459ED" w:rsidRPr="001F152E" w:rsidRDefault="008459ED" w:rsidP="001F152E">
            <w:pPr>
              <w:pStyle w:val="webnormal"/>
            </w:pPr>
            <w:r w:rsidRPr="001F152E">
              <w:t>AB</w:t>
            </w:r>
          </w:p>
        </w:tc>
        <w:tc>
          <w:tcPr>
            <w:tcW w:w="4320" w:type="dxa"/>
            <w:vAlign w:val="center"/>
          </w:tcPr>
          <w:p w14:paraId="290B693B" w14:textId="77777777" w:rsidR="008459ED" w:rsidRPr="001F152E" w:rsidRDefault="008459ED" w:rsidP="00CC5AF3">
            <w:pPr>
              <w:pStyle w:val="webnormal"/>
            </w:pPr>
            <w:r w:rsidRPr="001F152E">
              <w:t>Novitasphere Helpdesk</w:t>
            </w:r>
            <w:r w:rsidR="00A519D7">
              <w:t xml:space="preserve"> </w:t>
            </w:r>
            <w:r w:rsidR="00A519D7" w:rsidRPr="00A519D7">
              <w:t>–</w:t>
            </w:r>
            <w:r w:rsidR="00CC5AF3">
              <w:t>PTAN</w:t>
            </w:r>
            <w:r w:rsidR="00A519D7" w:rsidRPr="00A519D7">
              <w:t>, NPI and Tax ID available when calling.</w:t>
            </w:r>
          </w:p>
        </w:tc>
        <w:tc>
          <w:tcPr>
            <w:tcW w:w="2995" w:type="dxa"/>
            <w:vAlign w:val="center"/>
          </w:tcPr>
          <w:p w14:paraId="35D0CDA8" w14:textId="77777777" w:rsidR="008459ED" w:rsidRPr="001F152E" w:rsidRDefault="008459ED" w:rsidP="001F152E">
            <w:pPr>
              <w:pStyle w:val="webnormal"/>
            </w:pPr>
            <w:r w:rsidRPr="001F152E">
              <w:t>855-880-8424</w:t>
            </w:r>
          </w:p>
        </w:tc>
        <w:tc>
          <w:tcPr>
            <w:tcW w:w="2399" w:type="dxa"/>
            <w:vAlign w:val="center"/>
          </w:tcPr>
          <w:p w14:paraId="266E7BFA" w14:textId="77777777" w:rsidR="008459ED" w:rsidRPr="001F152E" w:rsidRDefault="008459ED" w:rsidP="001F152E">
            <w:pPr>
              <w:pStyle w:val="webnormal"/>
            </w:pPr>
          </w:p>
        </w:tc>
      </w:tr>
      <w:tr w:rsidR="008459ED" w:rsidRPr="001F152E" w14:paraId="48B96716" w14:textId="77777777" w:rsidTr="0071045E">
        <w:tc>
          <w:tcPr>
            <w:tcW w:w="978" w:type="dxa"/>
            <w:vAlign w:val="center"/>
          </w:tcPr>
          <w:p w14:paraId="731213A5" w14:textId="77777777" w:rsidR="008459ED" w:rsidRPr="001F152E" w:rsidRDefault="008459ED" w:rsidP="001F152E">
            <w:pPr>
              <w:pStyle w:val="webnormal"/>
            </w:pPr>
            <w:r w:rsidRPr="001F152E">
              <w:t>AB</w:t>
            </w:r>
          </w:p>
        </w:tc>
        <w:tc>
          <w:tcPr>
            <w:tcW w:w="4320" w:type="dxa"/>
            <w:vAlign w:val="center"/>
          </w:tcPr>
          <w:p w14:paraId="07B92022" w14:textId="77777777" w:rsidR="008459ED" w:rsidRDefault="00CC5AF3" w:rsidP="001F152E">
            <w:pPr>
              <w:pStyle w:val="webnormal"/>
            </w:pPr>
            <w:r>
              <w:t>Provider e</w:t>
            </w:r>
            <w:r w:rsidR="008459ED" w:rsidRPr="001F152E">
              <w:t>nrollment </w:t>
            </w:r>
            <w:r w:rsidR="00C859C0">
              <w:t xml:space="preserve">(e.g., general enrollment questions, site visit questions, etc.) </w:t>
            </w:r>
            <w:r w:rsidR="008459ED" w:rsidRPr="001F152E">
              <w:t>(</w:t>
            </w:r>
            <w:hyperlink w:anchor="First" w:history="1">
              <w:r w:rsidR="008459ED" w:rsidRPr="001F152E">
                <w:rPr>
                  <w:rStyle w:val="Hyperlink"/>
                </w:rPr>
                <w:t>1</w:t>
              </w:r>
            </w:hyperlink>
            <w:r w:rsidR="008459ED" w:rsidRPr="001F152E">
              <w:t>)</w:t>
            </w:r>
          </w:p>
          <w:p w14:paraId="1788A87D" w14:textId="6E85A4F0" w:rsidR="00FE3D14" w:rsidRPr="001F152E" w:rsidRDefault="00FE3D14" w:rsidP="001F152E">
            <w:pPr>
              <w:pStyle w:val="webnormal"/>
            </w:pPr>
            <w:r w:rsidRPr="00FE3D14">
              <w:t xml:space="preserve">Note: The Provider Enrollment Help Line should not be used for checking the status of an application. For status, please visit the </w:t>
            </w:r>
            <w:hyperlink r:id="rId9" w:history="1">
              <w:r w:rsidRPr="00FE3D14">
                <w:rPr>
                  <w:rStyle w:val="Hyperlink"/>
                </w:rPr>
                <w:t>Provider Enrollment Status Inquiry Tool</w:t>
              </w:r>
            </w:hyperlink>
            <w:r w:rsidRPr="00FE3D14">
              <w:t>. You can also directly contact the credentialing specialist, as was referenced on your acknowledgement or development letter.</w:t>
            </w:r>
          </w:p>
        </w:tc>
        <w:tc>
          <w:tcPr>
            <w:tcW w:w="2995" w:type="dxa"/>
            <w:vAlign w:val="center"/>
          </w:tcPr>
          <w:p w14:paraId="70B48D83" w14:textId="1BC4292B" w:rsidR="008459ED" w:rsidRPr="001F152E" w:rsidRDefault="008459ED" w:rsidP="001F152E">
            <w:pPr>
              <w:pStyle w:val="webnormal"/>
            </w:pPr>
            <w:r w:rsidRPr="001F152E">
              <w:t>855-252-8782</w:t>
            </w:r>
            <w:r w:rsidRPr="001F152E">
              <w:br/>
            </w:r>
            <w:r w:rsidR="00CC4882">
              <w:t>o</w:t>
            </w:r>
            <w:r w:rsidRPr="001F152E">
              <w:t>ption 4 </w:t>
            </w:r>
          </w:p>
        </w:tc>
        <w:tc>
          <w:tcPr>
            <w:tcW w:w="2399" w:type="dxa"/>
            <w:vAlign w:val="center"/>
          </w:tcPr>
          <w:p w14:paraId="59A5CD14" w14:textId="77777777" w:rsidR="008459ED" w:rsidRPr="001F152E" w:rsidRDefault="00CC5AF3" w:rsidP="001F152E">
            <w:pPr>
              <w:pStyle w:val="webnormal"/>
            </w:pPr>
            <w:r>
              <w:t> </w:t>
            </w:r>
            <w:r w:rsidR="008459ED" w:rsidRPr="001F152E">
              <w:t>877-439-5479</w:t>
            </w:r>
          </w:p>
        </w:tc>
      </w:tr>
      <w:tr w:rsidR="008459ED" w:rsidRPr="001F152E" w14:paraId="226BF9CE" w14:textId="77777777" w:rsidTr="0071045E">
        <w:tc>
          <w:tcPr>
            <w:tcW w:w="978" w:type="dxa"/>
            <w:vAlign w:val="center"/>
          </w:tcPr>
          <w:p w14:paraId="0BB48346" w14:textId="77777777" w:rsidR="008459ED" w:rsidRPr="001F152E" w:rsidRDefault="008459ED" w:rsidP="001F152E">
            <w:pPr>
              <w:pStyle w:val="webnormal"/>
            </w:pPr>
            <w:r w:rsidRPr="001F152E">
              <w:t>AB</w:t>
            </w:r>
          </w:p>
        </w:tc>
        <w:tc>
          <w:tcPr>
            <w:tcW w:w="4320" w:type="dxa"/>
            <w:vAlign w:val="center"/>
          </w:tcPr>
          <w:p w14:paraId="271CC476" w14:textId="77777777" w:rsidR="008459ED" w:rsidRPr="001F152E" w:rsidRDefault="008459ED" w:rsidP="001F152E">
            <w:pPr>
              <w:pStyle w:val="webnormal"/>
            </w:pPr>
            <w:r w:rsidRPr="001F152E">
              <w:t>Teletypewriter (TTY) (</w:t>
            </w:r>
            <w:hyperlink w:anchor="Third" w:history="1">
              <w:r w:rsidRPr="001F152E">
                <w:rPr>
                  <w:rStyle w:val="Hyperlink"/>
                </w:rPr>
                <w:t>3</w:t>
              </w:r>
            </w:hyperlink>
            <w:r w:rsidRPr="001F152E">
              <w:t>)</w:t>
            </w:r>
          </w:p>
        </w:tc>
        <w:tc>
          <w:tcPr>
            <w:tcW w:w="2995" w:type="dxa"/>
            <w:vAlign w:val="center"/>
          </w:tcPr>
          <w:p w14:paraId="15A9A6E8" w14:textId="3D05C570" w:rsidR="008459ED" w:rsidRPr="001F152E" w:rsidRDefault="00984631" w:rsidP="001F152E">
            <w:pPr>
              <w:pStyle w:val="webnormal"/>
            </w:pPr>
            <w:r>
              <w:t>711</w:t>
            </w:r>
          </w:p>
        </w:tc>
        <w:tc>
          <w:tcPr>
            <w:tcW w:w="2399" w:type="dxa"/>
            <w:vAlign w:val="center"/>
          </w:tcPr>
          <w:p w14:paraId="2874C310" w14:textId="77777777" w:rsidR="008459ED" w:rsidRPr="001F152E" w:rsidRDefault="008459ED" w:rsidP="001F152E">
            <w:pPr>
              <w:pStyle w:val="webnormal"/>
            </w:pPr>
            <w:r w:rsidRPr="001F152E">
              <w:t> </w:t>
            </w:r>
          </w:p>
        </w:tc>
      </w:tr>
      <w:tr w:rsidR="008459ED" w:rsidRPr="001F152E" w14:paraId="06C9D294" w14:textId="77777777" w:rsidTr="0071045E">
        <w:tc>
          <w:tcPr>
            <w:tcW w:w="978" w:type="dxa"/>
            <w:vAlign w:val="center"/>
          </w:tcPr>
          <w:p w14:paraId="235B2822" w14:textId="77777777" w:rsidR="008459ED" w:rsidRPr="001F152E" w:rsidRDefault="008459ED" w:rsidP="001F152E">
            <w:pPr>
              <w:pStyle w:val="webnormal"/>
            </w:pPr>
            <w:r w:rsidRPr="001F152E">
              <w:t>B</w:t>
            </w:r>
          </w:p>
        </w:tc>
        <w:tc>
          <w:tcPr>
            <w:tcW w:w="4320" w:type="dxa"/>
            <w:vAlign w:val="center"/>
          </w:tcPr>
          <w:p w14:paraId="7B1F6116" w14:textId="77777777" w:rsidR="008459ED" w:rsidRPr="001F152E" w:rsidRDefault="008459ED" w:rsidP="00CC5AF3">
            <w:pPr>
              <w:pStyle w:val="webnormal"/>
            </w:pPr>
            <w:r w:rsidRPr="001F152E">
              <w:t xml:space="preserve">Automated </w:t>
            </w:r>
            <w:r w:rsidR="00CC5AF3">
              <w:t>c</w:t>
            </w:r>
            <w:r w:rsidRPr="001F152E">
              <w:t xml:space="preserve">laim </w:t>
            </w:r>
            <w:r w:rsidR="00CC5AF3">
              <w:t>c</w:t>
            </w:r>
            <w:r w:rsidRPr="001F152E">
              <w:t>orrections (</w:t>
            </w:r>
            <w:hyperlink w:anchor="Fourth" w:history="1">
              <w:r w:rsidRPr="001F152E">
                <w:rPr>
                  <w:rStyle w:val="Hyperlink"/>
                </w:rPr>
                <w:t>4</w:t>
              </w:r>
            </w:hyperlink>
            <w:r w:rsidRPr="001F152E">
              <w:t>)</w:t>
            </w:r>
          </w:p>
        </w:tc>
        <w:tc>
          <w:tcPr>
            <w:tcW w:w="2995" w:type="dxa"/>
            <w:vAlign w:val="center"/>
          </w:tcPr>
          <w:p w14:paraId="7DDC86CB" w14:textId="3005AC60" w:rsidR="008459ED" w:rsidRPr="001F152E" w:rsidRDefault="008459ED" w:rsidP="001F152E">
            <w:pPr>
              <w:pStyle w:val="webnormal"/>
            </w:pPr>
            <w:r w:rsidRPr="001F152E">
              <w:t>855-252-8782</w:t>
            </w:r>
            <w:r w:rsidRPr="001F152E">
              <w:br/>
            </w:r>
            <w:r w:rsidR="00CC4882">
              <w:t>o</w:t>
            </w:r>
            <w:r w:rsidRPr="001F152E">
              <w:t xml:space="preserve">ption 1, then </w:t>
            </w:r>
            <w:r w:rsidR="00CC4882">
              <w:t>o</w:t>
            </w:r>
            <w:r w:rsidRPr="001F152E">
              <w:t>ption 2 </w:t>
            </w:r>
          </w:p>
        </w:tc>
        <w:tc>
          <w:tcPr>
            <w:tcW w:w="2399" w:type="dxa"/>
            <w:vAlign w:val="center"/>
          </w:tcPr>
          <w:p w14:paraId="102C190D" w14:textId="77777777" w:rsidR="008459ED" w:rsidRPr="001F152E" w:rsidRDefault="008459ED" w:rsidP="001F152E">
            <w:pPr>
              <w:pStyle w:val="webnormal"/>
            </w:pPr>
            <w:r w:rsidRPr="001F152E">
              <w:t> </w:t>
            </w:r>
          </w:p>
        </w:tc>
      </w:tr>
      <w:tr w:rsidR="008459ED" w:rsidRPr="001F152E" w14:paraId="37E34208" w14:textId="77777777" w:rsidTr="0071045E">
        <w:tc>
          <w:tcPr>
            <w:tcW w:w="978" w:type="dxa"/>
            <w:vAlign w:val="center"/>
          </w:tcPr>
          <w:p w14:paraId="07A03CDA" w14:textId="77777777" w:rsidR="008459ED" w:rsidRPr="001F152E" w:rsidRDefault="008459ED" w:rsidP="001F152E">
            <w:pPr>
              <w:pStyle w:val="webnormal"/>
            </w:pPr>
            <w:r w:rsidRPr="001F152E">
              <w:t>B</w:t>
            </w:r>
          </w:p>
        </w:tc>
        <w:tc>
          <w:tcPr>
            <w:tcW w:w="4320" w:type="dxa"/>
            <w:vAlign w:val="center"/>
          </w:tcPr>
          <w:p w14:paraId="294B3CCE" w14:textId="77777777" w:rsidR="008459ED" w:rsidRPr="001F152E" w:rsidRDefault="00CC5AF3" w:rsidP="001F152E">
            <w:pPr>
              <w:pStyle w:val="webnormal"/>
            </w:pPr>
            <w:r>
              <w:t>Submitting documentation prior to EMC claims via f</w:t>
            </w:r>
            <w:r w:rsidR="008459ED" w:rsidRPr="001F152E">
              <w:t>ax (</w:t>
            </w:r>
            <w:hyperlink w:anchor="Fifth" w:history="1">
              <w:r w:rsidR="008459ED" w:rsidRPr="001F152E">
                <w:rPr>
                  <w:rStyle w:val="Hyperlink"/>
                </w:rPr>
                <w:t>5</w:t>
              </w:r>
            </w:hyperlink>
            <w:r w:rsidR="008459ED" w:rsidRPr="001F152E">
              <w:t>)</w:t>
            </w:r>
          </w:p>
        </w:tc>
        <w:tc>
          <w:tcPr>
            <w:tcW w:w="2995" w:type="dxa"/>
            <w:vAlign w:val="center"/>
          </w:tcPr>
          <w:p w14:paraId="46687ADC" w14:textId="77777777" w:rsidR="008459ED" w:rsidRPr="001F152E" w:rsidRDefault="008459ED" w:rsidP="001F152E">
            <w:pPr>
              <w:pStyle w:val="webnormal"/>
            </w:pPr>
            <w:r w:rsidRPr="001F152E">
              <w:t> </w:t>
            </w:r>
          </w:p>
        </w:tc>
        <w:tc>
          <w:tcPr>
            <w:tcW w:w="2399" w:type="dxa"/>
            <w:vAlign w:val="center"/>
          </w:tcPr>
          <w:p w14:paraId="313E2376" w14:textId="77777777" w:rsidR="008459ED" w:rsidRPr="001F152E" w:rsidRDefault="008459ED" w:rsidP="00CC5AF3">
            <w:pPr>
              <w:pStyle w:val="webnormal"/>
            </w:pPr>
            <w:r w:rsidRPr="001F152E">
              <w:t>877-439-5479 </w:t>
            </w:r>
          </w:p>
        </w:tc>
      </w:tr>
      <w:tr w:rsidR="0071045E" w:rsidRPr="001F152E" w14:paraId="56DAD814" w14:textId="77777777" w:rsidTr="0071045E">
        <w:tc>
          <w:tcPr>
            <w:tcW w:w="978" w:type="dxa"/>
            <w:vAlign w:val="center"/>
          </w:tcPr>
          <w:p w14:paraId="656747FD" w14:textId="02F275D4" w:rsidR="0071045E" w:rsidRPr="0071045E" w:rsidRDefault="0071045E" w:rsidP="0071045E">
            <w:pPr>
              <w:pStyle w:val="webnormal"/>
            </w:pPr>
            <w:r w:rsidRPr="0071045E">
              <w:t>A/B</w:t>
            </w:r>
          </w:p>
        </w:tc>
        <w:tc>
          <w:tcPr>
            <w:tcW w:w="4320" w:type="dxa"/>
            <w:vAlign w:val="center"/>
          </w:tcPr>
          <w:p w14:paraId="4641AD52" w14:textId="2A9EE56A" w:rsidR="0071045E" w:rsidRPr="0071045E" w:rsidRDefault="0071045E" w:rsidP="0071045E">
            <w:pPr>
              <w:pStyle w:val="webnormal"/>
            </w:pPr>
            <w:r w:rsidRPr="0071045E">
              <w:t>Prior authorization (</w:t>
            </w:r>
            <w:hyperlink w:anchor="BM6" w:history="1">
              <w:r w:rsidRPr="0071045E">
                <w:rPr>
                  <w:rStyle w:val="Hyperlink"/>
                </w:rPr>
                <w:t>6</w:t>
              </w:r>
            </w:hyperlink>
            <w:r w:rsidRPr="0071045E">
              <w:t>)</w:t>
            </w:r>
          </w:p>
        </w:tc>
        <w:tc>
          <w:tcPr>
            <w:tcW w:w="2995" w:type="dxa"/>
            <w:vAlign w:val="center"/>
          </w:tcPr>
          <w:p w14:paraId="60A2F8A8" w14:textId="2CD3CB1C" w:rsidR="0071045E" w:rsidRPr="0071045E" w:rsidRDefault="0071045E" w:rsidP="0071045E">
            <w:pPr>
              <w:pStyle w:val="webnormal"/>
            </w:pPr>
            <w:r w:rsidRPr="0071045E">
              <w:t>855-340-5975</w:t>
            </w:r>
          </w:p>
        </w:tc>
        <w:tc>
          <w:tcPr>
            <w:tcW w:w="2399" w:type="dxa"/>
            <w:vAlign w:val="center"/>
          </w:tcPr>
          <w:p w14:paraId="672A2503" w14:textId="5423B31C" w:rsidR="0071045E" w:rsidRPr="0071045E" w:rsidRDefault="0071045E" w:rsidP="0071045E">
            <w:pPr>
              <w:pStyle w:val="webnormal"/>
            </w:pPr>
            <w:r w:rsidRPr="0071045E">
              <w:t>877-439-5479 </w:t>
            </w:r>
          </w:p>
        </w:tc>
      </w:tr>
    </w:tbl>
    <w:p w14:paraId="2468F06B" w14:textId="77777777" w:rsidR="00782B77" w:rsidRDefault="00782B77" w:rsidP="00782B77">
      <w:pPr>
        <w:pStyle w:val="webnormal"/>
      </w:pPr>
      <w:r w:rsidRPr="00782B77">
        <w:t xml:space="preserve">Don't see it? View </w:t>
      </w:r>
      <w:hyperlink r:id="rId10" w:history="1">
        <w:r w:rsidRPr="00DB76C2">
          <w:rPr>
            <w:rStyle w:val="Hyperlink"/>
          </w:rPr>
          <w:t>telephone numbers for other agencies</w:t>
        </w:r>
      </w:hyperlink>
      <w:r w:rsidRPr="00782B77">
        <w:t xml:space="preserve"> and </w:t>
      </w:r>
      <w:hyperlink r:id="rId11" w:history="1">
        <w:r w:rsidRPr="00DB76C2">
          <w:rPr>
            <w:rStyle w:val="Hyperlink"/>
          </w:rPr>
          <w:t>links to other web sites</w:t>
        </w:r>
      </w:hyperlink>
      <w:r w:rsidRPr="00782B77">
        <w:t xml:space="preserve">. </w:t>
      </w:r>
    </w:p>
    <w:p w14:paraId="68DC0598" w14:textId="4E8A656B" w:rsidR="00CC5AF3" w:rsidRDefault="000E1DE9" w:rsidP="00CC5AF3">
      <w:pPr>
        <w:pStyle w:val="webnormal"/>
      </w:pPr>
      <w:r>
        <w:t>If you are a beneficiary or calling on behalf of a beneficiary,</w:t>
      </w:r>
      <w:r w:rsidR="00CC5AF3">
        <w:t xml:space="preserve"> please call 1-800-MEDICARE (</w:t>
      </w:r>
      <w:r w:rsidR="00CC5AF3" w:rsidRPr="00CC5AF3">
        <w:t>800-633-4227</w:t>
      </w:r>
      <w:r w:rsidR="00CC5AF3">
        <w:t xml:space="preserve">); TTY: </w:t>
      </w:r>
      <w:r w:rsidR="00984631">
        <w:t>711</w:t>
      </w:r>
      <w:r w:rsidR="00CC5AF3">
        <w:t>.</w:t>
      </w:r>
    </w:p>
    <w:p w14:paraId="5BCF986B" w14:textId="064EDDA0" w:rsidR="00DB76C2" w:rsidRDefault="00365F98" w:rsidP="00365F98">
      <w:pPr>
        <w:pStyle w:val="webnormal"/>
      </w:pPr>
      <w:r w:rsidRPr="00365F98">
        <w:t xml:space="preserve">If you need to </w:t>
      </w:r>
      <w:r w:rsidR="00BF1F9D">
        <w:t>reach</w:t>
      </w:r>
      <w:r w:rsidRPr="00365F98">
        <w:t xml:space="preserve"> us electronically, please refer to our </w:t>
      </w:r>
      <w:r w:rsidR="00CC4882">
        <w:t>g</w:t>
      </w:r>
      <w:r w:rsidRPr="00365F98">
        <w:t xml:space="preserve">eneral </w:t>
      </w:r>
      <w:r w:rsidR="00CC4882">
        <w:t>i</w:t>
      </w:r>
      <w:r w:rsidRPr="00365F98">
        <w:t xml:space="preserve">nquiry </w:t>
      </w:r>
      <w:r w:rsidR="00CC4882">
        <w:t>f</w:t>
      </w:r>
      <w:r w:rsidRPr="00365F98">
        <w:t>orm (</w:t>
      </w:r>
      <w:hyperlink r:id="rId12" w:history="1">
        <w:r w:rsidR="008459ED">
          <w:rPr>
            <w:rStyle w:val="Hyperlink"/>
          </w:rPr>
          <w:t>Part A</w:t>
        </w:r>
      </w:hyperlink>
      <w:r w:rsidRPr="00365F98">
        <w:t>)</w:t>
      </w:r>
      <w:r w:rsidR="002A43F8">
        <w:t xml:space="preserve"> </w:t>
      </w:r>
      <w:r w:rsidRPr="00365F98">
        <w:t>(</w:t>
      </w:r>
      <w:hyperlink r:id="rId13" w:history="1">
        <w:r w:rsidR="008459ED">
          <w:rPr>
            <w:rStyle w:val="Hyperlink"/>
          </w:rPr>
          <w:t>Part B</w:t>
        </w:r>
      </w:hyperlink>
      <w:r w:rsidRPr="00365F98">
        <w:t>)</w:t>
      </w:r>
      <w:r w:rsidR="00CC5AF3">
        <w:t xml:space="preserve"> or email contact l</w:t>
      </w:r>
      <w:r>
        <w:t>ist (</w:t>
      </w:r>
      <w:hyperlink r:id="rId14" w:history="1">
        <w:r w:rsidR="008459ED">
          <w:rPr>
            <w:rStyle w:val="Hyperlink"/>
          </w:rPr>
          <w:t>Part A</w:t>
        </w:r>
      </w:hyperlink>
      <w:r>
        <w:t>)</w:t>
      </w:r>
      <w:r w:rsidR="002A43F8">
        <w:t xml:space="preserve"> </w:t>
      </w:r>
      <w:r>
        <w:t>(</w:t>
      </w:r>
      <w:hyperlink r:id="rId15" w:history="1">
        <w:r w:rsidR="008459ED">
          <w:rPr>
            <w:rStyle w:val="Hyperlink"/>
          </w:rPr>
          <w:t>Part B</w:t>
        </w:r>
      </w:hyperlink>
      <w:r>
        <w:t>)</w:t>
      </w:r>
      <w:r w:rsidRPr="00365F98">
        <w:t>.</w:t>
      </w:r>
    </w:p>
    <w:p w14:paraId="461738E8" w14:textId="014953B2" w:rsidR="00760CDC" w:rsidRDefault="00760CDC" w:rsidP="00365F98">
      <w:pPr>
        <w:pStyle w:val="webnormal"/>
      </w:pPr>
      <w:r w:rsidRPr="00760CDC">
        <w:t xml:space="preserve">To reach our leadership team, please refer to the </w:t>
      </w:r>
      <w:hyperlink r:id="rId16" w:history="1">
        <w:r w:rsidRPr="00760CDC">
          <w:rPr>
            <w:rStyle w:val="Hyperlink"/>
          </w:rPr>
          <w:t xml:space="preserve">Contact </w:t>
        </w:r>
        <w:r w:rsidR="00A75EA0">
          <w:rPr>
            <w:rStyle w:val="Hyperlink"/>
          </w:rPr>
          <w:t>l</w:t>
        </w:r>
        <w:r w:rsidRPr="00760CDC">
          <w:rPr>
            <w:rStyle w:val="Hyperlink"/>
          </w:rPr>
          <w:t xml:space="preserve">isting for Novitas Solutions </w:t>
        </w:r>
        <w:r w:rsidR="00A75EA0">
          <w:rPr>
            <w:rStyle w:val="Hyperlink"/>
          </w:rPr>
          <w:t>l</w:t>
        </w:r>
        <w:r w:rsidRPr="00760CDC">
          <w:rPr>
            <w:rStyle w:val="Hyperlink"/>
          </w:rPr>
          <w:t xml:space="preserve">eadership </w:t>
        </w:r>
        <w:r w:rsidR="00A75EA0">
          <w:rPr>
            <w:rStyle w:val="Hyperlink"/>
          </w:rPr>
          <w:t>t</w:t>
        </w:r>
        <w:r w:rsidRPr="00760CDC">
          <w:rPr>
            <w:rStyle w:val="Hyperlink"/>
          </w:rPr>
          <w:t>eam</w:t>
        </w:r>
      </w:hyperlink>
      <w:r w:rsidRPr="00760CDC">
        <w:t>.</w:t>
      </w:r>
    </w:p>
    <w:p w14:paraId="03EEF5AD" w14:textId="459FCC6E" w:rsidR="002A43F8" w:rsidRPr="00365F98" w:rsidRDefault="002A43F8" w:rsidP="00365F98">
      <w:pPr>
        <w:pStyle w:val="webnormal"/>
      </w:pPr>
      <w:r>
        <w:t>To r</w:t>
      </w:r>
      <w:r w:rsidR="00CC5AF3">
        <w:t>each us via U.S. m</w:t>
      </w:r>
      <w:r>
        <w:t xml:space="preserve">ail, please refer to our </w:t>
      </w:r>
      <w:r w:rsidR="00CC5AF3">
        <w:t>postal mailing a</w:t>
      </w:r>
      <w:r w:rsidRPr="002A43F8">
        <w:t>ddresses</w:t>
      </w:r>
      <w:r>
        <w:t xml:space="preserve"> (</w:t>
      </w:r>
      <w:hyperlink r:id="rId17" w:history="1">
        <w:r w:rsidRPr="002A43F8">
          <w:rPr>
            <w:rStyle w:val="Hyperlink"/>
          </w:rPr>
          <w:t>Part A</w:t>
        </w:r>
      </w:hyperlink>
      <w:r>
        <w:t>) (</w:t>
      </w:r>
      <w:hyperlink r:id="rId18" w:history="1">
        <w:r w:rsidRPr="002A43F8">
          <w:rPr>
            <w:rStyle w:val="Hyperlink"/>
          </w:rPr>
          <w:t>Part B</w:t>
        </w:r>
      </w:hyperlink>
      <w:r>
        <w:t>).</w:t>
      </w:r>
    </w:p>
    <w:p w14:paraId="015395B7" w14:textId="48314B2A" w:rsidR="00782B77" w:rsidRPr="00782B77" w:rsidRDefault="00CC5AF3" w:rsidP="00DB76C2">
      <w:pPr>
        <w:pStyle w:val="webnumbered1"/>
      </w:pPr>
      <w:bookmarkStart w:id="1" w:name="1"/>
      <w:bookmarkStart w:id="2" w:name="First"/>
      <w:bookmarkEnd w:id="1"/>
      <w:bookmarkEnd w:id="2"/>
      <w:r>
        <w:lastRenderedPageBreak/>
        <w:t xml:space="preserve">Our single </w:t>
      </w:r>
      <w:r w:rsidR="00CC4882">
        <w:t>toll-free</w:t>
      </w:r>
      <w:r>
        <w:t xml:space="preserve"> telephone customer service u</w:t>
      </w:r>
      <w:r w:rsidR="00782B77" w:rsidRPr="00782B77">
        <w:t xml:space="preserve">nits, including </w:t>
      </w:r>
      <w:r w:rsidR="00F713BB">
        <w:t>provider services, EDI helpdesk and</w:t>
      </w:r>
      <w:r w:rsidR="00782B77" w:rsidRPr="00782B77">
        <w:t xml:space="preserve"> </w:t>
      </w:r>
      <w:r w:rsidR="00CC4882">
        <w:t>e</w:t>
      </w:r>
      <w:r w:rsidR="00782B77" w:rsidRPr="00782B77">
        <w:t>nrollment are available Monday – Friday</w:t>
      </w:r>
      <w:r w:rsidR="00365F98">
        <w:t>,</w:t>
      </w:r>
      <w:r w:rsidR="00782B77" w:rsidRPr="00782B77">
        <w:t xml:space="preserve"> 8</w:t>
      </w:r>
      <w:r>
        <w:t xml:space="preserve"> a.m.</w:t>
      </w:r>
      <w:r w:rsidR="00782B77" w:rsidRPr="00782B77">
        <w:t xml:space="preserve"> – 4</w:t>
      </w:r>
      <w:r>
        <w:t xml:space="preserve"> p.m. </w:t>
      </w:r>
      <w:r w:rsidR="002D2FB6">
        <w:t>CT and MT</w:t>
      </w:r>
      <w:r w:rsidR="00365F98">
        <w:t>.</w:t>
      </w:r>
    </w:p>
    <w:p w14:paraId="7EA332DE" w14:textId="77777777" w:rsidR="00365F98" w:rsidRDefault="00782B77" w:rsidP="00990BB9">
      <w:pPr>
        <w:pStyle w:val="webnumbered1"/>
      </w:pPr>
      <w:bookmarkStart w:id="3" w:name="2"/>
      <w:bookmarkStart w:id="4" w:name="Second"/>
      <w:bookmarkEnd w:id="3"/>
      <w:bookmarkEnd w:id="4"/>
      <w:r w:rsidRPr="00782B77">
        <w:t xml:space="preserve">Our </w:t>
      </w:r>
      <w:r w:rsidRPr="00990BB9">
        <w:t>IVR</w:t>
      </w:r>
      <w:r w:rsidRPr="00782B77">
        <w:t xml:space="preserve"> system enables you to receive information without representative intervention. The IVR provides quick and accurate responses to routine inquiries.  </w:t>
      </w:r>
    </w:p>
    <w:p w14:paraId="55E360FD" w14:textId="470F9B08" w:rsidR="00DB76C2" w:rsidRDefault="00CC5AF3" w:rsidP="00365F98">
      <w:pPr>
        <w:pStyle w:val="webindent1"/>
      </w:pPr>
      <w:r>
        <w:t>IVR hours of a</w:t>
      </w:r>
      <w:r w:rsidR="00782B77" w:rsidRPr="00365F98">
        <w:t>vailability</w:t>
      </w:r>
      <w:r w:rsidR="00B93935">
        <w:t xml:space="preserve"> (</w:t>
      </w:r>
      <w:hyperlink r:id="rId19" w:tooltip="Part A JL IVR User Guide" w:history="1">
        <w:r w:rsidR="00782B77" w:rsidRPr="00365F98">
          <w:rPr>
            <w:rStyle w:val="Hyperlink"/>
          </w:rPr>
          <w:t>Part A</w:t>
        </w:r>
      </w:hyperlink>
      <w:r w:rsidR="00B93935">
        <w:rPr>
          <w:rStyle w:val="Hyperlink"/>
        </w:rPr>
        <w:t>)</w:t>
      </w:r>
      <w:r w:rsidR="002A43F8">
        <w:rPr>
          <w:rStyle w:val="Hyperlink"/>
        </w:rPr>
        <w:t xml:space="preserve"> </w:t>
      </w:r>
      <w:r w:rsidR="00B93935">
        <w:rPr>
          <w:rStyle w:val="Hyperlink"/>
        </w:rPr>
        <w:t>(</w:t>
      </w:r>
      <w:hyperlink r:id="rId20" w:tooltip="Part B JL IVR User Guide" w:history="1">
        <w:r w:rsidR="00782B77" w:rsidRPr="00365F98">
          <w:rPr>
            <w:rStyle w:val="Hyperlink"/>
          </w:rPr>
          <w:t>Part B</w:t>
        </w:r>
      </w:hyperlink>
      <w:r w:rsidR="00B93935">
        <w:rPr>
          <w:rStyle w:val="Hyperlink"/>
        </w:rPr>
        <w:t>)</w:t>
      </w:r>
      <w:r w:rsidR="00782B77" w:rsidRPr="00365F98">
        <w:t xml:space="preserve"> </w:t>
      </w:r>
    </w:p>
    <w:p w14:paraId="3CBB6A95" w14:textId="26F048A8" w:rsidR="00C8660B" w:rsidRPr="00365F98" w:rsidRDefault="00C8660B" w:rsidP="00365F98">
      <w:pPr>
        <w:pStyle w:val="webindent1"/>
      </w:pPr>
      <w:r>
        <w:t>IVR User Guide (</w:t>
      </w:r>
      <w:hyperlink r:id="rId21" w:history="1">
        <w:r w:rsidRPr="00C8660B">
          <w:rPr>
            <w:rStyle w:val="Hyperlink"/>
          </w:rPr>
          <w:t>Part A</w:t>
        </w:r>
      </w:hyperlink>
      <w:r>
        <w:t>) (</w:t>
      </w:r>
      <w:hyperlink r:id="rId22" w:history="1">
        <w:r w:rsidRPr="00C8660B">
          <w:rPr>
            <w:rStyle w:val="Hyperlink"/>
          </w:rPr>
          <w:t>Part B</w:t>
        </w:r>
      </w:hyperlink>
      <w:r>
        <w:t>)</w:t>
      </w:r>
    </w:p>
    <w:p w14:paraId="3F5CF20C" w14:textId="77777777" w:rsidR="000136B4" w:rsidRPr="000136B4" w:rsidRDefault="000136B4" w:rsidP="000136B4">
      <w:pPr>
        <w:pStyle w:val="webnumbered1"/>
      </w:pPr>
      <w:bookmarkStart w:id="5" w:name="Third"/>
      <w:bookmarkEnd w:id="5"/>
      <w:r w:rsidRPr="000136B4">
        <w:t>A Teletypewriter (TTY) is a special device that allows hearing and speech impaired callers to type messages back and forth.</w:t>
      </w:r>
    </w:p>
    <w:p w14:paraId="6BBE864E" w14:textId="4AE645ED" w:rsidR="000136B4" w:rsidRPr="000136B4" w:rsidRDefault="000136B4" w:rsidP="000136B4">
      <w:pPr>
        <w:pStyle w:val="webnumbered1"/>
        <w:numPr>
          <w:ilvl w:val="0"/>
          <w:numId w:val="0"/>
        </w:numPr>
        <w:ind w:left="720"/>
      </w:pPr>
      <w:r w:rsidRPr="000136B4">
        <w:t xml:space="preserve">After dialing 711, callers will provide the 711-relay representative with our JH toll-free number (1-855-252-8782). To connect with </w:t>
      </w:r>
      <w:r w:rsidR="0056272D">
        <w:t xml:space="preserve">a </w:t>
      </w:r>
      <w:r w:rsidR="0056272D" w:rsidRPr="000136B4">
        <w:t>representative,</w:t>
      </w:r>
      <w:r w:rsidRPr="000136B4">
        <w:t xml:space="preserve"> you will provide the relay representative with the line of business (Part A or Part B) and then indicate you are requesting a live agent. </w:t>
      </w:r>
    </w:p>
    <w:p w14:paraId="0F0CB656" w14:textId="6CAEC9A5" w:rsidR="00DB76C2" w:rsidRDefault="000136B4" w:rsidP="000136B4">
      <w:pPr>
        <w:pStyle w:val="webnumbered1"/>
        <w:numPr>
          <w:ilvl w:val="0"/>
          <w:numId w:val="0"/>
        </w:numPr>
        <w:ind w:left="720"/>
      </w:pPr>
      <w:r w:rsidRPr="000136B4">
        <w:t xml:space="preserve">If your inquiry involves PHI/PII, then you will need to have the provider’s PTAN, NPI, and TIN as well as the beneficiary’s MBI, name, and DOB (for eligibility inquiries) or DOS (for claim inquiries) readily available. </w:t>
      </w:r>
      <w:bookmarkStart w:id="6" w:name="4"/>
      <w:bookmarkEnd w:id="6"/>
    </w:p>
    <w:p w14:paraId="75BBAE59" w14:textId="77777777" w:rsidR="00DB76C2" w:rsidRDefault="000A2051" w:rsidP="000A2051">
      <w:pPr>
        <w:pStyle w:val="webnumbered1"/>
      </w:pPr>
      <w:bookmarkStart w:id="7" w:name="Fourth"/>
      <w:bookmarkEnd w:id="7"/>
      <w:r w:rsidRPr="000A2051">
        <w:t>Our</w:t>
      </w:r>
      <w:r w:rsidR="00CC5AF3">
        <w:t xml:space="preserve"> unlimited automated claim c</w:t>
      </w:r>
      <w:r w:rsidR="00CC5AF3" w:rsidRPr="000A2051">
        <w:t>orrections via the IVR provide</w:t>
      </w:r>
      <w:r w:rsidRPr="000A2051">
        <w:t xml:space="preserve"> an opportunity </w:t>
      </w:r>
      <w:r w:rsidR="00782B77" w:rsidRPr="00782B77">
        <w:t>to have your Medicare claims reviewed over the telephone. This is a faster and more efficient process for you, rather than submitting your request in writing.</w:t>
      </w:r>
      <w:bookmarkStart w:id="8" w:name="5"/>
      <w:bookmarkEnd w:id="8"/>
    </w:p>
    <w:p w14:paraId="3C1C7382" w14:textId="7F692212" w:rsidR="002B3022" w:rsidRDefault="002B3022" w:rsidP="00990BB9">
      <w:pPr>
        <w:pStyle w:val="webnumbered1"/>
      </w:pPr>
      <w:bookmarkStart w:id="9" w:name="Fifth"/>
      <w:bookmarkEnd w:id="9"/>
      <w:r w:rsidRPr="002B3022">
        <w:t xml:space="preserve">This fax to image technology will allow you to fax medical documentation for Part B electronic </w:t>
      </w:r>
      <w:r w:rsidRPr="00990BB9">
        <w:t>claims (</w:t>
      </w:r>
      <w:r w:rsidR="00CC4882" w:rsidRPr="00990BB9">
        <w:t>i.e.,</w:t>
      </w:r>
      <w:r w:rsidRPr="00990BB9">
        <w:t xml:space="preserve"> 835 professional transactions)</w:t>
      </w:r>
      <w:r w:rsidRPr="002B3022">
        <w:t xml:space="preserve"> to </w:t>
      </w:r>
      <w:r w:rsidR="00CC4882">
        <w:t>us</w:t>
      </w:r>
      <w:r w:rsidRPr="002B3022">
        <w:t>. This fax number is available 24 hours a day seven days a week.</w:t>
      </w:r>
    </w:p>
    <w:p w14:paraId="2A8820B6" w14:textId="19DB0A6E" w:rsidR="009237A9" w:rsidRDefault="002B3022" w:rsidP="002B3022">
      <w:pPr>
        <w:pStyle w:val="webindent1"/>
      </w:pPr>
      <w:hyperlink r:id="rId23" w:history="1">
        <w:r w:rsidRPr="002B3022">
          <w:rPr>
            <w:rStyle w:val="Hyperlink"/>
          </w:rPr>
          <w:t xml:space="preserve">Fax Cover Sheet for Submitting </w:t>
        </w:r>
        <w:r w:rsidR="002077BC">
          <w:rPr>
            <w:rStyle w:val="Hyperlink"/>
          </w:rPr>
          <w:t>m</w:t>
        </w:r>
        <w:r w:rsidRPr="002B3022">
          <w:rPr>
            <w:rStyle w:val="Hyperlink"/>
          </w:rPr>
          <w:t xml:space="preserve">edical </w:t>
        </w:r>
        <w:r w:rsidR="002077BC">
          <w:rPr>
            <w:rStyle w:val="Hyperlink"/>
          </w:rPr>
          <w:t>d</w:t>
        </w:r>
        <w:r w:rsidRPr="002B3022">
          <w:rPr>
            <w:rStyle w:val="Hyperlink"/>
          </w:rPr>
          <w:t xml:space="preserve">ocumentation for EDI </w:t>
        </w:r>
        <w:r w:rsidR="002077BC">
          <w:rPr>
            <w:rStyle w:val="Hyperlink"/>
          </w:rPr>
          <w:t>c</w:t>
        </w:r>
        <w:r w:rsidRPr="002B3022">
          <w:rPr>
            <w:rStyle w:val="Hyperlink"/>
          </w:rPr>
          <w:t xml:space="preserve">laims for Medicare Part A </w:t>
        </w:r>
      </w:hyperlink>
      <w:r w:rsidRPr="002B3022">
        <w:t xml:space="preserve"> </w:t>
      </w:r>
    </w:p>
    <w:p w14:paraId="435BC1D4" w14:textId="447E76CE" w:rsidR="002B3022" w:rsidRPr="002B3022" w:rsidRDefault="002B3022" w:rsidP="002B3022">
      <w:pPr>
        <w:pStyle w:val="webindent1"/>
      </w:pPr>
      <w:hyperlink r:id="rId24" w:history="1">
        <w:r w:rsidRPr="002B3022">
          <w:rPr>
            <w:rStyle w:val="Hyperlink"/>
          </w:rPr>
          <w:t xml:space="preserve">Fax Cover Sheet for Submitting </w:t>
        </w:r>
        <w:r w:rsidR="002077BC">
          <w:rPr>
            <w:rStyle w:val="Hyperlink"/>
          </w:rPr>
          <w:t>m</w:t>
        </w:r>
        <w:r w:rsidRPr="002B3022">
          <w:rPr>
            <w:rStyle w:val="Hyperlink"/>
          </w:rPr>
          <w:t xml:space="preserve">edical </w:t>
        </w:r>
        <w:r w:rsidR="002077BC">
          <w:rPr>
            <w:rStyle w:val="Hyperlink"/>
          </w:rPr>
          <w:t>d</w:t>
        </w:r>
        <w:r w:rsidRPr="002B3022">
          <w:rPr>
            <w:rStyle w:val="Hyperlink"/>
          </w:rPr>
          <w:t xml:space="preserve">ocumentation for EDI </w:t>
        </w:r>
        <w:r w:rsidR="002077BC">
          <w:rPr>
            <w:rStyle w:val="Hyperlink"/>
          </w:rPr>
          <w:t>c</w:t>
        </w:r>
        <w:r w:rsidRPr="002B3022">
          <w:rPr>
            <w:rStyle w:val="Hyperlink"/>
          </w:rPr>
          <w:t xml:space="preserve">laims for Medicare Part B </w:t>
        </w:r>
      </w:hyperlink>
      <w:r w:rsidRPr="002B3022">
        <w:t xml:space="preserve"> </w:t>
      </w:r>
    </w:p>
    <w:p w14:paraId="0CE47082" w14:textId="595E4EB4" w:rsidR="00582CC7" w:rsidRPr="00AD21EC" w:rsidRDefault="00582CC7" w:rsidP="00582CC7">
      <w:pPr>
        <w:pStyle w:val="webnumbered1"/>
      </w:pPr>
      <w:bookmarkStart w:id="10" w:name="BM6"/>
      <w:r>
        <w:t xml:space="preserve">Our toll-free telephone </w:t>
      </w:r>
      <w:hyperlink r:id="rId25" w:history="1">
        <w:r w:rsidRPr="00582CC7">
          <w:rPr>
            <w:rStyle w:val="Hyperlink"/>
          </w:rPr>
          <w:t>prior authorization</w:t>
        </w:r>
      </w:hyperlink>
      <w:r>
        <w:t xml:space="preserve"> u</w:t>
      </w:r>
      <w:r w:rsidRPr="00AD21EC">
        <w:t xml:space="preserve">nit is available Monday – Friday, 8 </w:t>
      </w:r>
      <w:r>
        <w:t>a.m.</w:t>
      </w:r>
      <w:r w:rsidRPr="00AD21EC">
        <w:t xml:space="preserve"> – </w:t>
      </w:r>
      <w:r>
        <w:t>6</w:t>
      </w:r>
      <w:r w:rsidRPr="00AD21EC">
        <w:t xml:space="preserve"> </w:t>
      </w:r>
      <w:r>
        <w:t>p.m.</w:t>
      </w:r>
      <w:r w:rsidRPr="00AD21EC">
        <w:t xml:space="preserve"> ET.</w:t>
      </w:r>
      <w:bookmarkEnd w:id="10"/>
    </w:p>
    <w:p w14:paraId="3BB7E2EC" w14:textId="77777777" w:rsidR="001B2C7B" w:rsidRPr="001B2C7B" w:rsidRDefault="001B2C7B" w:rsidP="001B2C7B">
      <w:pPr>
        <w:pStyle w:val="webnormal"/>
      </w:pPr>
      <w:r w:rsidRPr="001B2C7B">
        <w:t>Provide your correct PTAN when contacting provider customer service.</w:t>
      </w:r>
    </w:p>
    <w:p w14:paraId="18895CBE" w14:textId="6FA73E49" w:rsidR="001B2C7B" w:rsidRPr="001B2C7B" w:rsidRDefault="001B2C7B" w:rsidP="001B2C7B">
      <w:pPr>
        <w:pStyle w:val="webnormal"/>
      </w:pPr>
      <w:r w:rsidRPr="001B2C7B">
        <w:t xml:space="preserve">The Provider Transaction Access Number (PTAN) is your unique Medicare identification number. This number is assigned to providers once their enrollment has been approved. Although the National Provider Identifier (NPI) is used to submit claims to Medicare, the PTAN is required to authenticate a provider’s identity for all transactions relating to </w:t>
      </w:r>
      <w:r w:rsidR="000B471D">
        <w:t xml:space="preserve">eligibility, </w:t>
      </w:r>
      <w:r w:rsidRPr="001B2C7B">
        <w:t>billing</w:t>
      </w:r>
      <w:r w:rsidR="00C63A31">
        <w:t>,</w:t>
      </w:r>
      <w:r w:rsidRPr="001B2C7B">
        <w:t xml:space="preserve"> and enrollment (</w:t>
      </w:r>
      <w:hyperlink r:id="rId26" w:history="1">
        <w:r w:rsidRPr="001B2C7B">
          <w:rPr>
            <w:rStyle w:val="Hyperlink"/>
          </w:rPr>
          <w:t>IVR</w:t>
        </w:r>
      </w:hyperlink>
      <w:r w:rsidRPr="001B2C7B">
        <w:t xml:space="preserve">, </w:t>
      </w:r>
      <w:hyperlink r:id="rId27" w:history="1">
        <w:r w:rsidRPr="001B2C7B">
          <w:rPr>
            <w:rStyle w:val="Hyperlink"/>
          </w:rPr>
          <w:t>Novitasphere</w:t>
        </w:r>
      </w:hyperlink>
      <w:r w:rsidRPr="001B2C7B">
        <w:t xml:space="preserve">, </w:t>
      </w:r>
      <w:hyperlink r:id="rId28" w:history="1">
        <w:r w:rsidRPr="001B2C7B">
          <w:rPr>
            <w:rStyle w:val="Hyperlink"/>
          </w:rPr>
          <w:t>enrollment requests</w:t>
        </w:r>
      </w:hyperlink>
      <w:r w:rsidRPr="001B2C7B">
        <w:t>, provider contact center inquiries, etc.).</w:t>
      </w:r>
    </w:p>
    <w:p w14:paraId="68B792CD" w14:textId="77777777" w:rsidR="001B2C7B" w:rsidRPr="001B2C7B" w:rsidRDefault="001B2C7B" w:rsidP="001B2C7B">
      <w:pPr>
        <w:pStyle w:val="webnormal"/>
      </w:pPr>
      <w:r w:rsidRPr="001B2C7B">
        <w:t>For this reason, it is important that you provide the correct PTAN when required to do so in the proper format. For example, all PTANs that have double zeroes as a prefix (00XXXXX) should be provided with those zeroes, followed by the remaining digits. If your PTAN is composed of numbers and letters, be sure to provide the appropriate format and order, without confusing letters and numbers. For example, do not enter the letter “O” in place of the number “0” and vice versa.</w:t>
      </w:r>
    </w:p>
    <w:p w14:paraId="3227C872" w14:textId="52101AAF" w:rsidR="008123FC" w:rsidRPr="00690182" w:rsidRDefault="001B2C7B" w:rsidP="001B2C7B">
      <w:pPr>
        <w:pStyle w:val="webnormal"/>
      </w:pPr>
      <w:r w:rsidRPr="001B2C7B">
        <w:t>When you call our provider contact center, our customer service representatives will require your PTAN to respond to any</w:t>
      </w:r>
      <w:r w:rsidR="000B471D">
        <w:t xml:space="preserve"> eligibility and</w:t>
      </w:r>
      <w:r w:rsidRPr="001B2C7B">
        <w:t xml:space="preserve"> claim-related inquiries. Please be sure to have the correct PTAN readily available. The PTAN of the claim where information is being requested, must be provided.</w:t>
      </w:r>
    </w:p>
    <w:sectPr w:rsidR="008123FC" w:rsidRPr="00690182"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644666"/>
    <w:multiLevelType w:val="multilevel"/>
    <w:tmpl w:val="F85E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01353800">
    <w:abstractNumId w:val="11"/>
  </w:num>
  <w:num w:numId="2" w16cid:durableId="1956669446">
    <w:abstractNumId w:val="14"/>
  </w:num>
  <w:num w:numId="3" w16cid:durableId="244847641">
    <w:abstractNumId w:val="10"/>
  </w:num>
  <w:num w:numId="4" w16cid:durableId="1877501232">
    <w:abstractNumId w:val="17"/>
  </w:num>
  <w:num w:numId="5" w16cid:durableId="1818834799">
    <w:abstractNumId w:val="13"/>
  </w:num>
  <w:num w:numId="6" w16cid:durableId="1448160364">
    <w:abstractNumId w:val="15"/>
  </w:num>
  <w:num w:numId="7" w16cid:durableId="1168518701">
    <w:abstractNumId w:val="13"/>
  </w:num>
  <w:num w:numId="8" w16cid:durableId="317927722">
    <w:abstractNumId w:val="17"/>
  </w:num>
  <w:num w:numId="9" w16cid:durableId="15088674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56750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2664069">
    <w:abstractNumId w:val="11"/>
  </w:num>
  <w:num w:numId="12" w16cid:durableId="21377500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2924719">
    <w:abstractNumId w:val="9"/>
  </w:num>
  <w:num w:numId="14" w16cid:durableId="1160733339">
    <w:abstractNumId w:val="7"/>
  </w:num>
  <w:num w:numId="15" w16cid:durableId="950432607">
    <w:abstractNumId w:val="6"/>
  </w:num>
  <w:num w:numId="16" w16cid:durableId="1869759532">
    <w:abstractNumId w:val="5"/>
  </w:num>
  <w:num w:numId="17" w16cid:durableId="1934514726">
    <w:abstractNumId w:val="4"/>
  </w:num>
  <w:num w:numId="18" w16cid:durableId="1207647798">
    <w:abstractNumId w:val="8"/>
  </w:num>
  <w:num w:numId="19" w16cid:durableId="1590119">
    <w:abstractNumId w:val="3"/>
  </w:num>
  <w:num w:numId="20" w16cid:durableId="842085700">
    <w:abstractNumId w:val="2"/>
  </w:num>
  <w:num w:numId="21" w16cid:durableId="1650404023">
    <w:abstractNumId w:val="1"/>
  </w:num>
  <w:num w:numId="22" w16cid:durableId="832448762">
    <w:abstractNumId w:val="0"/>
  </w:num>
  <w:num w:numId="23" w16cid:durableId="2131971631">
    <w:abstractNumId w:val="16"/>
  </w:num>
  <w:num w:numId="24" w16cid:durableId="113976524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B77"/>
    <w:rsid w:val="000136B4"/>
    <w:rsid w:val="0002565B"/>
    <w:rsid w:val="00055627"/>
    <w:rsid w:val="00092376"/>
    <w:rsid w:val="000A2051"/>
    <w:rsid w:val="000B016D"/>
    <w:rsid w:val="000B471D"/>
    <w:rsid w:val="000C1D4A"/>
    <w:rsid w:val="000E1DE9"/>
    <w:rsid w:val="0011358E"/>
    <w:rsid w:val="00130DF9"/>
    <w:rsid w:val="00145DCD"/>
    <w:rsid w:val="00157BBA"/>
    <w:rsid w:val="001A0AB9"/>
    <w:rsid w:val="001B2C7B"/>
    <w:rsid w:val="001C00CA"/>
    <w:rsid w:val="001C4E73"/>
    <w:rsid w:val="001F152E"/>
    <w:rsid w:val="00202A27"/>
    <w:rsid w:val="002077BC"/>
    <w:rsid w:val="00272E35"/>
    <w:rsid w:val="002A43F8"/>
    <w:rsid w:val="002B3022"/>
    <w:rsid w:val="002D2FB6"/>
    <w:rsid w:val="002E24F2"/>
    <w:rsid w:val="00365F98"/>
    <w:rsid w:val="00391469"/>
    <w:rsid w:val="003A1286"/>
    <w:rsid w:val="004162AE"/>
    <w:rsid w:val="004714B0"/>
    <w:rsid w:val="0049375B"/>
    <w:rsid w:val="004C3C55"/>
    <w:rsid w:val="004F3244"/>
    <w:rsid w:val="0056272D"/>
    <w:rsid w:val="00582CC7"/>
    <w:rsid w:val="005E4329"/>
    <w:rsid w:val="005E794D"/>
    <w:rsid w:val="00607BB5"/>
    <w:rsid w:val="00613EB4"/>
    <w:rsid w:val="00632C35"/>
    <w:rsid w:val="00665721"/>
    <w:rsid w:val="00690182"/>
    <w:rsid w:val="00691F2B"/>
    <w:rsid w:val="006E3869"/>
    <w:rsid w:val="0071045E"/>
    <w:rsid w:val="0073729C"/>
    <w:rsid w:val="00746DBB"/>
    <w:rsid w:val="00760446"/>
    <w:rsid w:val="00760CDC"/>
    <w:rsid w:val="00782B77"/>
    <w:rsid w:val="007925FC"/>
    <w:rsid w:val="007B479D"/>
    <w:rsid w:val="007C1D85"/>
    <w:rsid w:val="007D24BF"/>
    <w:rsid w:val="007D5C58"/>
    <w:rsid w:val="00803F9D"/>
    <w:rsid w:val="008123FC"/>
    <w:rsid w:val="008459ED"/>
    <w:rsid w:val="00861C2B"/>
    <w:rsid w:val="0088323E"/>
    <w:rsid w:val="008A0E01"/>
    <w:rsid w:val="008F343B"/>
    <w:rsid w:val="00900670"/>
    <w:rsid w:val="009237A9"/>
    <w:rsid w:val="009312AD"/>
    <w:rsid w:val="009673A2"/>
    <w:rsid w:val="00970E34"/>
    <w:rsid w:val="009811F7"/>
    <w:rsid w:val="00984631"/>
    <w:rsid w:val="00986FB4"/>
    <w:rsid w:val="00990BB9"/>
    <w:rsid w:val="009A6816"/>
    <w:rsid w:val="00A3700D"/>
    <w:rsid w:val="00A519D7"/>
    <w:rsid w:val="00A54015"/>
    <w:rsid w:val="00A75EA0"/>
    <w:rsid w:val="00A75EF2"/>
    <w:rsid w:val="00A868CA"/>
    <w:rsid w:val="00AB7F64"/>
    <w:rsid w:val="00B17482"/>
    <w:rsid w:val="00B2746C"/>
    <w:rsid w:val="00B509A6"/>
    <w:rsid w:val="00B93935"/>
    <w:rsid w:val="00BA2E83"/>
    <w:rsid w:val="00BA3AD6"/>
    <w:rsid w:val="00BE35C1"/>
    <w:rsid w:val="00BF1F9D"/>
    <w:rsid w:val="00C16A79"/>
    <w:rsid w:val="00C261AE"/>
    <w:rsid w:val="00C63A31"/>
    <w:rsid w:val="00C7062C"/>
    <w:rsid w:val="00C719C3"/>
    <w:rsid w:val="00C859C0"/>
    <w:rsid w:val="00C8660B"/>
    <w:rsid w:val="00CC4882"/>
    <w:rsid w:val="00CC5AF3"/>
    <w:rsid w:val="00CF71DB"/>
    <w:rsid w:val="00D05EB8"/>
    <w:rsid w:val="00D11DDE"/>
    <w:rsid w:val="00D27C48"/>
    <w:rsid w:val="00D6433A"/>
    <w:rsid w:val="00DB76C2"/>
    <w:rsid w:val="00E060F1"/>
    <w:rsid w:val="00E60C0C"/>
    <w:rsid w:val="00E635D6"/>
    <w:rsid w:val="00EA68CB"/>
    <w:rsid w:val="00EB5257"/>
    <w:rsid w:val="00F13A6E"/>
    <w:rsid w:val="00F23054"/>
    <w:rsid w:val="00F26003"/>
    <w:rsid w:val="00F27979"/>
    <w:rsid w:val="00F53C78"/>
    <w:rsid w:val="00F713BB"/>
    <w:rsid w:val="00FB6F39"/>
    <w:rsid w:val="00FC3EBB"/>
    <w:rsid w:val="00FD4999"/>
    <w:rsid w:val="00FE3D14"/>
    <w:rsid w:val="00FF0EA4"/>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23874"/>
  <w15:docId w15:val="{7A6F78C7-0FC9-49F6-8344-3AB1DB665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2A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paragraph" w:styleId="NormalWeb">
    <w:name w:val="Normal (Web)"/>
    <w:basedOn w:val="Normal"/>
    <w:uiPriority w:val="99"/>
    <w:semiHidden/>
    <w:unhideWhenUsed/>
    <w:locked/>
    <w:rsid w:val="00782B77"/>
    <w:rPr>
      <w:rFonts w:ascii="Times New Roman" w:hAnsi="Times New Roman"/>
      <w:sz w:val="24"/>
      <w:szCs w:val="24"/>
    </w:rPr>
  </w:style>
  <w:style w:type="character" w:styleId="Strong">
    <w:name w:val="Strong"/>
    <w:basedOn w:val="DefaultParagraphFont"/>
    <w:uiPriority w:val="22"/>
    <w:qFormat/>
    <w:locked/>
    <w:rsid w:val="00782B77"/>
    <w:rPr>
      <w:b/>
      <w:bCs/>
    </w:rPr>
  </w:style>
  <w:style w:type="character" w:styleId="Emphasis">
    <w:name w:val="Emphasis"/>
    <w:basedOn w:val="DefaultParagraphFont"/>
    <w:uiPriority w:val="20"/>
    <w:qFormat/>
    <w:locked/>
    <w:rsid w:val="00782B77"/>
    <w:rPr>
      <w:i/>
      <w:iCs/>
    </w:rPr>
  </w:style>
  <w:style w:type="character" w:styleId="UnresolvedMention">
    <w:name w:val="Unresolved Mention"/>
    <w:basedOn w:val="DefaultParagraphFont"/>
    <w:uiPriority w:val="99"/>
    <w:semiHidden/>
    <w:unhideWhenUsed/>
    <w:rsid w:val="00C866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1319">
      <w:bodyDiv w:val="1"/>
      <w:marLeft w:val="0"/>
      <w:marRight w:val="0"/>
      <w:marTop w:val="0"/>
      <w:marBottom w:val="0"/>
      <w:divBdr>
        <w:top w:val="none" w:sz="0" w:space="0" w:color="auto"/>
        <w:left w:val="none" w:sz="0" w:space="0" w:color="auto"/>
        <w:bottom w:val="none" w:sz="0" w:space="0" w:color="auto"/>
        <w:right w:val="none" w:sz="0" w:space="0" w:color="auto"/>
      </w:divBdr>
    </w:div>
    <w:div w:id="369769750">
      <w:bodyDiv w:val="1"/>
      <w:marLeft w:val="0"/>
      <w:marRight w:val="0"/>
      <w:marTop w:val="0"/>
      <w:marBottom w:val="0"/>
      <w:divBdr>
        <w:top w:val="none" w:sz="0" w:space="0" w:color="auto"/>
        <w:left w:val="none" w:sz="0" w:space="0" w:color="auto"/>
        <w:bottom w:val="none" w:sz="0" w:space="0" w:color="auto"/>
        <w:right w:val="none" w:sz="0" w:space="0" w:color="auto"/>
      </w:divBdr>
      <w:divsChild>
        <w:div w:id="315912951">
          <w:marLeft w:val="0"/>
          <w:marRight w:val="0"/>
          <w:marTop w:val="0"/>
          <w:marBottom w:val="0"/>
          <w:divBdr>
            <w:top w:val="none" w:sz="0" w:space="0" w:color="auto"/>
            <w:left w:val="none" w:sz="0" w:space="0" w:color="auto"/>
            <w:bottom w:val="none" w:sz="0" w:space="0" w:color="auto"/>
            <w:right w:val="none" w:sz="0" w:space="0" w:color="auto"/>
          </w:divBdr>
        </w:div>
      </w:divsChild>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1411391796">
      <w:bodyDiv w:val="1"/>
      <w:marLeft w:val="0"/>
      <w:marRight w:val="0"/>
      <w:marTop w:val="0"/>
      <w:marBottom w:val="0"/>
      <w:divBdr>
        <w:top w:val="none" w:sz="0" w:space="0" w:color="auto"/>
        <w:left w:val="none" w:sz="0" w:space="0" w:color="auto"/>
        <w:bottom w:val="none" w:sz="0" w:space="0" w:color="auto"/>
        <w:right w:val="none" w:sz="0" w:space="0" w:color="auto"/>
      </w:divBdr>
      <w:divsChild>
        <w:div w:id="1384329178">
          <w:marLeft w:val="0"/>
          <w:marRight w:val="0"/>
          <w:marTop w:val="0"/>
          <w:marBottom w:val="0"/>
          <w:divBdr>
            <w:top w:val="none" w:sz="0" w:space="0" w:color="auto"/>
            <w:left w:val="none" w:sz="0" w:space="0" w:color="auto"/>
            <w:bottom w:val="none" w:sz="0" w:space="0" w:color="auto"/>
            <w:right w:val="none" w:sz="0" w:space="0" w:color="auto"/>
          </w:divBdr>
        </w:div>
        <w:div w:id="1119372466">
          <w:marLeft w:val="0"/>
          <w:marRight w:val="0"/>
          <w:marTop w:val="0"/>
          <w:marBottom w:val="0"/>
          <w:divBdr>
            <w:top w:val="none" w:sz="0" w:space="0" w:color="auto"/>
            <w:left w:val="none" w:sz="0" w:space="0" w:color="auto"/>
            <w:bottom w:val="none" w:sz="0" w:space="0" w:color="auto"/>
            <w:right w:val="none" w:sz="0" w:space="0" w:color="auto"/>
          </w:divBdr>
        </w:div>
        <w:div w:id="1838767967">
          <w:marLeft w:val="0"/>
          <w:marRight w:val="0"/>
          <w:marTop w:val="0"/>
          <w:marBottom w:val="0"/>
          <w:divBdr>
            <w:top w:val="none" w:sz="0" w:space="0" w:color="auto"/>
            <w:left w:val="none" w:sz="0" w:space="0" w:color="auto"/>
            <w:bottom w:val="none" w:sz="0" w:space="0" w:color="auto"/>
            <w:right w:val="none" w:sz="0" w:space="0" w:color="auto"/>
          </w:divBdr>
        </w:div>
      </w:divsChild>
    </w:div>
    <w:div w:id="1913082283">
      <w:bodyDiv w:val="1"/>
      <w:marLeft w:val="0"/>
      <w:marRight w:val="0"/>
      <w:marTop w:val="0"/>
      <w:marBottom w:val="0"/>
      <w:divBdr>
        <w:top w:val="none" w:sz="0" w:space="0" w:color="auto"/>
        <w:left w:val="none" w:sz="0" w:space="0" w:color="auto"/>
        <w:bottom w:val="none" w:sz="0" w:space="0" w:color="auto"/>
        <w:right w:val="none" w:sz="0" w:space="0" w:color="auto"/>
      </w:divBdr>
      <w:divsChild>
        <w:div w:id="14007885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ddocname:00003664" TargetMode="External"/><Relationship Id="rId18" Type="http://schemas.openxmlformats.org/officeDocument/2006/relationships/hyperlink" Target="ddocname:00024404" TargetMode="External"/><Relationship Id="rId26" Type="http://schemas.openxmlformats.org/officeDocument/2006/relationships/hyperlink" Target="https://www.novitas-solutions.com/webcenter/portal/MedicareJH/pagebyid?contentId=00004409" TargetMode="External"/><Relationship Id="rId3" Type="http://schemas.openxmlformats.org/officeDocument/2006/relationships/customXml" Target="../customXml/item3.xml"/><Relationship Id="rId21" Type="http://schemas.openxmlformats.org/officeDocument/2006/relationships/hyperlink" Target="ddocname:00004409" TargetMode="External"/><Relationship Id="rId7" Type="http://schemas.openxmlformats.org/officeDocument/2006/relationships/settings" Target="settings.xml"/><Relationship Id="rId12" Type="http://schemas.openxmlformats.org/officeDocument/2006/relationships/hyperlink" Target="ddocname:00003663" TargetMode="External"/><Relationship Id="rId17" Type="http://schemas.openxmlformats.org/officeDocument/2006/relationships/hyperlink" Target="ddocname:00024403" TargetMode="External"/><Relationship Id="rId25" Type="http://schemas.openxmlformats.org/officeDocument/2006/relationships/hyperlink" Target="ddocname:00227907" TargetMode="External"/><Relationship Id="rId2" Type="http://schemas.openxmlformats.org/officeDocument/2006/relationships/customXml" Target="../customXml/item2.xml"/><Relationship Id="rId16" Type="http://schemas.openxmlformats.org/officeDocument/2006/relationships/hyperlink" Target="ddocname:00152304" TargetMode="External"/><Relationship Id="rId20" Type="http://schemas.openxmlformats.org/officeDocument/2006/relationships/hyperlink" Target="dDocName:0002502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ddocname:00007964" TargetMode="External"/><Relationship Id="rId24" Type="http://schemas.openxmlformats.org/officeDocument/2006/relationships/hyperlink" Target="https://www.novitas-solutions.com/webcenter/content/conn/UCM_Repository/uuid/dDocName:00004752" TargetMode="External"/><Relationship Id="rId5" Type="http://schemas.openxmlformats.org/officeDocument/2006/relationships/numbering" Target="numbering.xml"/><Relationship Id="rId15" Type="http://schemas.openxmlformats.org/officeDocument/2006/relationships/hyperlink" Target="ddocname:00082158" TargetMode="External"/><Relationship Id="rId23" Type="http://schemas.openxmlformats.org/officeDocument/2006/relationships/hyperlink" Target="https://www.novitas-solutions.com/webcenter/content/conn/UCM_Repository/uuid/dDocName:00004751" TargetMode="External"/><Relationship Id="rId28" Type="http://schemas.openxmlformats.org/officeDocument/2006/relationships/hyperlink" Target="https://www.novitas-solutions.com/webcenter/portal/Enrollment_JH" TargetMode="External"/><Relationship Id="rId10" Type="http://schemas.openxmlformats.org/officeDocument/2006/relationships/hyperlink" Target="dDocName:00024922" TargetMode="External"/><Relationship Id="rId19" Type="http://schemas.openxmlformats.org/officeDocument/2006/relationships/hyperlink" Target="dDocName:00025016" TargetMode="External"/><Relationship Id="rId4" Type="http://schemas.openxmlformats.org/officeDocument/2006/relationships/customXml" Target="../customXml/item4.xml"/><Relationship Id="rId9" Type="http://schemas.openxmlformats.org/officeDocument/2006/relationships/hyperlink" Target="ddocname:00004864" TargetMode="External"/><Relationship Id="rId14" Type="http://schemas.openxmlformats.org/officeDocument/2006/relationships/hyperlink" Target="ddocname:00082118" TargetMode="External"/><Relationship Id="rId22" Type="http://schemas.openxmlformats.org/officeDocument/2006/relationships/hyperlink" Target="ddocname:00004421" TargetMode="External"/><Relationship Id="rId27" Type="http://schemas.openxmlformats.org/officeDocument/2006/relationships/hyperlink" Target="https://www.novitas-solutions.com/webcenter/portal/Novitasphere_JH"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6333D69391A4E99490FA9D001EFF2" ma:contentTypeVersion="0" ma:contentTypeDescription="Create a new document." ma:contentTypeScope="" ma:versionID="22b4f09d78445206be5114e9b5a9284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2E31D-F5F9-46D7-9F5C-E5B17ACA11D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D093C6-CFD4-41DF-909A-B17BE3B68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D3C75E5-D840-4C08-8F3B-32D5300D5A2E}">
  <ds:schemaRefs>
    <ds:schemaRef ds:uri="http://schemas.microsoft.com/sharepoint/v3/contenttype/forms"/>
  </ds:schemaRefs>
</ds:datastoreItem>
</file>

<file path=customXml/itemProps4.xml><?xml version="1.0" encoding="utf-8"?>
<ds:datastoreItem xmlns:ds="http://schemas.openxmlformats.org/officeDocument/2006/customXml" ds:itemID="{6E98B8A7-77E8-4B2A-892D-EB37260C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Hillman, John</dc:creator>
  <cp:lastModifiedBy>Yeckley, Zachary</cp:lastModifiedBy>
  <cp:revision>2</cp:revision>
  <cp:lastPrinted>2013-08-22T18:47:00Z</cp:lastPrinted>
  <dcterms:created xsi:type="dcterms:W3CDTF">2025-11-26T16:39:00Z</dcterms:created>
  <dcterms:modified xsi:type="dcterms:W3CDTF">2025-11-26T16:39:00Z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0x01010069B6333D69391A4E99490FA9D001EFF2</vt:lpwstr>
  </property>
</Properties>
</file>