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5E2C" w14:textId="23134318" w:rsidR="00594E69" w:rsidRPr="00594E69" w:rsidRDefault="00594E69" w:rsidP="00594E69">
      <w:pPr>
        <w:pStyle w:val="webheader"/>
      </w:pPr>
      <w:r w:rsidRPr="00594E69">
        <w:t xml:space="preserve">Novitasphere Portal User Manual Supplement: Claim </w:t>
      </w:r>
      <w:r w:rsidR="005617DB">
        <w:t>s</w:t>
      </w:r>
      <w:r w:rsidRPr="00594E69">
        <w:t>ubmission/ERA using TIBCO</w:t>
      </w:r>
    </w:p>
    <w:p w14:paraId="20F45406" w14:textId="2061E757" w:rsidR="00594E69" w:rsidRPr="00594E69" w:rsidRDefault="00594E69" w:rsidP="00594E69">
      <w:pPr>
        <w:pStyle w:val="webnormal"/>
      </w:pPr>
      <w:r w:rsidRPr="00594E69">
        <w:t xml:space="preserve">The TIBCO PartnerExpress system is available in the Novitasphere portal’s Claims </w:t>
      </w:r>
      <w:r w:rsidR="005617DB">
        <w:t>s</w:t>
      </w:r>
      <w:r w:rsidRPr="00594E69">
        <w:t>ubmission/ERA feature. This system allows you to submit electronic claims via batch files (837) and retrieve the electronic reports through the TIBCO PartnerExpress EDI gateway.</w:t>
      </w:r>
    </w:p>
    <w:p w14:paraId="61A687B4" w14:textId="3BCE0DA7" w:rsidR="00594E69" w:rsidRPr="00594E69" w:rsidRDefault="00594E69" w:rsidP="00594E69">
      <w:pPr>
        <w:pStyle w:val="webnormal"/>
      </w:pPr>
      <w:r w:rsidRPr="00594E69">
        <w:t xml:space="preserve">This supplement provides instruction for the TIBCO system AFTER accessing it through Novitasphere. For instructions on accessing Novitasphere, or utilizing any of the other features, refer to the </w:t>
      </w:r>
      <w:hyperlink r:id="rId8" w:history="1">
        <w:r w:rsidRPr="006573BC">
          <w:rPr>
            <w:rStyle w:val="Hyperlink"/>
          </w:rPr>
          <w:t xml:space="preserve">Novitasphere User </w:t>
        </w:r>
        <w:r w:rsidR="006573BC" w:rsidRPr="006573BC">
          <w:rPr>
            <w:rStyle w:val="Hyperlink"/>
          </w:rPr>
          <w:t>Guide</w:t>
        </w:r>
      </w:hyperlink>
      <w:r w:rsidRPr="00594E69">
        <w:t>.</w:t>
      </w:r>
    </w:p>
    <w:p w14:paraId="38390FE2" w14:textId="54484F22" w:rsidR="00594E69" w:rsidRPr="00594E69" w:rsidRDefault="00594E69" w:rsidP="00594E69">
      <w:pPr>
        <w:pStyle w:val="webnormal"/>
      </w:pPr>
      <w:r w:rsidRPr="00594E69">
        <w:t xml:space="preserve">Below is the home screen of TIBCO seen once accessed through the Claim </w:t>
      </w:r>
      <w:r w:rsidR="005617DB">
        <w:t>s</w:t>
      </w:r>
      <w:r w:rsidRPr="00594E69">
        <w:t>ubmission/ERA feature in Novitasphere:</w:t>
      </w:r>
    </w:p>
    <w:p w14:paraId="15018294" w14:textId="4FFBC497" w:rsidR="00594E69" w:rsidRPr="00594E69" w:rsidRDefault="00456019" w:rsidP="00456019">
      <w:pPr>
        <w:pStyle w:val="webcenter"/>
      </w:pPr>
      <w:r w:rsidRPr="00456019">
        <w:rPr>
          <w:noProof/>
        </w:rPr>
        <w:drawing>
          <wp:inline distT="0" distB="0" distL="0" distR="0" wp14:anchorId="08B1BF08" wp14:editId="5C093732">
            <wp:extent cx="3746693" cy="3086259"/>
            <wp:effectExtent l="0" t="0" r="6350" b="0"/>
            <wp:docPr id="58071361" name="Picture 1" descr="TIBC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1361" name="Picture 1" descr="TIBCO home"/>
                    <pic:cNvPicPr/>
                  </pic:nvPicPr>
                  <pic:blipFill>
                    <a:blip r:embed="rId9"/>
                    <a:stretch>
                      <a:fillRect/>
                    </a:stretch>
                  </pic:blipFill>
                  <pic:spPr>
                    <a:xfrm>
                      <a:off x="0" y="0"/>
                      <a:ext cx="3746693" cy="3086259"/>
                    </a:xfrm>
                    <a:prstGeom prst="rect">
                      <a:avLst/>
                    </a:prstGeom>
                  </pic:spPr>
                </pic:pic>
              </a:graphicData>
            </a:graphic>
          </wp:inline>
        </w:drawing>
      </w:r>
    </w:p>
    <w:p w14:paraId="4D95D200" w14:textId="74796862" w:rsidR="00350062" w:rsidRPr="00350062" w:rsidRDefault="00350062" w:rsidP="00350062">
      <w:pPr>
        <w:pStyle w:val="webnormal"/>
        <w:rPr>
          <w:rStyle w:val="webbold"/>
        </w:rPr>
      </w:pPr>
      <w:r w:rsidRPr="00350062">
        <w:rPr>
          <w:rStyle w:val="webbold"/>
        </w:rPr>
        <w:t xml:space="preserve">To submit an </w:t>
      </w:r>
      <w:r w:rsidR="005617DB" w:rsidRPr="00350062">
        <w:rPr>
          <w:rStyle w:val="webbold"/>
        </w:rPr>
        <w:t>837-claim</w:t>
      </w:r>
      <w:r w:rsidRPr="00350062">
        <w:rPr>
          <w:rStyle w:val="webbold"/>
        </w:rPr>
        <w:t xml:space="preserve"> file and retrieve reports:</w:t>
      </w:r>
    </w:p>
    <w:p w14:paraId="75FB123F" w14:textId="77777777" w:rsidR="00594E69" w:rsidRPr="00594E69" w:rsidRDefault="00594E69" w:rsidP="00350062">
      <w:pPr>
        <w:pStyle w:val="webnumbered1"/>
      </w:pPr>
      <w:r w:rsidRPr="00594E69">
        <w:t xml:space="preserve">Click on the </w:t>
      </w:r>
      <w:r w:rsidRPr="00350062">
        <w:rPr>
          <w:rStyle w:val="webbold"/>
        </w:rPr>
        <w:t>Inbox</w:t>
      </w:r>
      <w:r w:rsidRPr="00594E69">
        <w:t xml:space="preserve"> tab.</w:t>
      </w:r>
    </w:p>
    <w:p w14:paraId="3BF7FAB7" w14:textId="506EFF81" w:rsidR="00594E69" w:rsidRPr="00594E69" w:rsidRDefault="00594E69" w:rsidP="00456019">
      <w:pPr>
        <w:pStyle w:val="webcenter"/>
      </w:pPr>
      <w:r w:rsidRPr="00594E69">
        <w:t xml:space="preserve"> </w:t>
      </w:r>
      <w:r w:rsidR="00456019" w:rsidRPr="00456019">
        <w:rPr>
          <w:noProof/>
        </w:rPr>
        <w:drawing>
          <wp:inline distT="0" distB="0" distL="0" distR="0" wp14:anchorId="4D4CD081" wp14:editId="74A0D8D3">
            <wp:extent cx="2603634" cy="546128"/>
            <wp:effectExtent l="0" t="0" r="6350" b="6350"/>
            <wp:docPr id="2090113744" name="Picture 1" descr="in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13744" name="Picture 1" descr="inbox"/>
                    <pic:cNvPicPr/>
                  </pic:nvPicPr>
                  <pic:blipFill>
                    <a:blip r:embed="rId10"/>
                    <a:stretch>
                      <a:fillRect/>
                    </a:stretch>
                  </pic:blipFill>
                  <pic:spPr>
                    <a:xfrm>
                      <a:off x="0" y="0"/>
                      <a:ext cx="2603634" cy="546128"/>
                    </a:xfrm>
                    <a:prstGeom prst="rect">
                      <a:avLst/>
                    </a:prstGeom>
                  </pic:spPr>
                </pic:pic>
              </a:graphicData>
            </a:graphic>
          </wp:inline>
        </w:drawing>
      </w:r>
    </w:p>
    <w:p w14:paraId="335A13D3" w14:textId="77777777" w:rsidR="00594E69" w:rsidRPr="00594E69" w:rsidRDefault="00594E69" w:rsidP="00350062">
      <w:pPr>
        <w:pStyle w:val="webnumbered1"/>
      </w:pPr>
      <w:r w:rsidRPr="00594E69">
        <w:t xml:space="preserve">Click on the </w:t>
      </w:r>
      <w:r w:rsidRPr="00350062">
        <w:rPr>
          <w:rStyle w:val="webbold"/>
        </w:rPr>
        <w:t>New</w:t>
      </w:r>
      <w:r w:rsidRPr="00594E69">
        <w:t xml:space="preserve"> button.</w:t>
      </w:r>
    </w:p>
    <w:p w14:paraId="21B75B39" w14:textId="3E822C1C" w:rsidR="00594E69" w:rsidRPr="00594E69" w:rsidRDefault="00456019" w:rsidP="00456019">
      <w:pPr>
        <w:pStyle w:val="webcenter"/>
      </w:pPr>
      <w:r w:rsidRPr="00456019">
        <w:rPr>
          <w:noProof/>
        </w:rPr>
        <w:drawing>
          <wp:inline distT="0" distB="0" distL="0" distR="0" wp14:anchorId="22E302FE" wp14:editId="3F3AF8D4">
            <wp:extent cx="4457929" cy="1409772"/>
            <wp:effectExtent l="0" t="0" r="0" b="0"/>
            <wp:docPr id="322386996" name="Picture 1" descr="new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86996" name="Picture 1" descr="new tab"/>
                    <pic:cNvPicPr/>
                  </pic:nvPicPr>
                  <pic:blipFill>
                    <a:blip r:embed="rId11"/>
                    <a:stretch>
                      <a:fillRect/>
                    </a:stretch>
                  </pic:blipFill>
                  <pic:spPr>
                    <a:xfrm>
                      <a:off x="0" y="0"/>
                      <a:ext cx="4457929" cy="1409772"/>
                    </a:xfrm>
                    <a:prstGeom prst="rect">
                      <a:avLst/>
                    </a:prstGeom>
                  </pic:spPr>
                </pic:pic>
              </a:graphicData>
            </a:graphic>
          </wp:inline>
        </w:drawing>
      </w:r>
    </w:p>
    <w:p w14:paraId="12335DD2" w14:textId="77777777" w:rsidR="00594E69" w:rsidRPr="00594E69" w:rsidRDefault="00594E69" w:rsidP="00350062">
      <w:pPr>
        <w:pStyle w:val="webnumbered1"/>
      </w:pPr>
      <w:r w:rsidRPr="00594E69">
        <w:t>Select</w:t>
      </w:r>
      <w:r w:rsidRPr="00350062">
        <w:rPr>
          <w:rStyle w:val="webbold"/>
        </w:rPr>
        <w:t xml:space="preserve"> Interchange</w:t>
      </w:r>
      <w:r w:rsidRPr="00594E69">
        <w:t>.</w:t>
      </w:r>
    </w:p>
    <w:p w14:paraId="57A2F909" w14:textId="6ABC074A" w:rsidR="00594E69" w:rsidRPr="00594E69" w:rsidRDefault="00456019" w:rsidP="00456019">
      <w:pPr>
        <w:pStyle w:val="webcenter"/>
      </w:pPr>
      <w:r w:rsidRPr="00456019">
        <w:rPr>
          <w:noProof/>
        </w:rPr>
        <w:lastRenderedPageBreak/>
        <w:drawing>
          <wp:inline distT="0" distB="0" distL="0" distR="0" wp14:anchorId="4A7092B9" wp14:editId="4ADB458F">
            <wp:extent cx="4623038" cy="3340272"/>
            <wp:effectExtent l="0" t="0" r="6350" b="0"/>
            <wp:docPr id="2027717593" name="Picture 1" descr="inter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17593" name="Picture 1" descr="interchange"/>
                    <pic:cNvPicPr/>
                  </pic:nvPicPr>
                  <pic:blipFill>
                    <a:blip r:embed="rId12"/>
                    <a:stretch>
                      <a:fillRect/>
                    </a:stretch>
                  </pic:blipFill>
                  <pic:spPr>
                    <a:xfrm>
                      <a:off x="0" y="0"/>
                      <a:ext cx="4623038" cy="3340272"/>
                    </a:xfrm>
                    <a:prstGeom prst="rect">
                      <a:avLst/>
                    </a:prstGeom>
                  </pic:spPr>
                </pic:pic>
              </a:graphicData>
            </a:graphic>
          </wp:inline>
        </w:drawing>
      </w:r>
    </w:p>
    <w:p w14:paraId="2238AD81" w14:textId="77777777" w:rsidR="00594E69" w:rsidRPr="00594E69" w:rsidRDefault="00594E69" w:rsidP="00350062">
      <w:pPr>
        <w:pStyle w:val="webnumbered1"/>
      </w:pPr>
      <w:r w:rsidRPr="00594E69">
        <w:t>Click Choose File and then navigate to the claim file. The location will depend on where your claim creation software saves the file. If unable to locate the file, please contact your software vendor.</w:t>
      </w:r>
    </w:p>
    <w:p w14:paraId="051EFEFD" w14:textId="77777777" w:rsidR="00594E69" w:rsidRPr="00594E69" w:rsidRDefault="00594E69" w:rsidP="00350062">
      <w:pPr>
        <w:pStyle w:val="webindent1"/>
      </w:pPr>
      <w:r w:rsidRPr="00594E69">
        <w:t>If you are using the PC-ACE software available through Novitas, navigate to the WINPCACE folder and look for the file named TRANS.DAT for Part A and TRANSB.DAT for Part B files.</w:t>
      </w:r>
    </w:p>
    <w:p w14:paraId="1128F2D3" w14:textId="57CE11A2" w:rsidR="00594E69" w:rsidRPr="00594E69" w:rsidRDefault="00456019" w:rsidP="00456019">
      <w:pPr>
        <w:pStyle w:val="webcenter"/>
      </w:pPr>
      <w:r w:rsidRPr="00456019">
        <w:rPr>
          <w:noProof/>
        </w:rPr>
        <w:drawing>
          <wp:inline distT="0" distB="0" distL="0" distR="0" wp14:anchorId="1787624C" wp14:editId="3E2CC795">
            <wp:extent cx="4623038" cy="3340272"/>
            <wp:effectExtent l="0" t="0" r="6350" b="0"/>
            <wp:docPr id="2088888027" name="Picture 1" descr="choos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88027" name="Picture 1" descr="choose file"/>
                    <pic:cNvPicPr/>
                  </pic:nvPicPr>
                  <pic:blipFill>
                    <a:blip r:embed="rId13"/>
                    <a:stretch>
                      <a:fillRect/>
                    </a:stretch>
                  </pic:blipFill>
                  <pic:spPr>
                    <a:xfrm>
                      <a:off x="0" y="0"/>
                      <a:ext cx="4623038" cy="3340272"/>
                    </a:xfrm>
                    <a:prstGeom prst="rect">
                      <a:avLst/>
                    </a:prstGeom>
                  </pic:spPr>
                </pic:pic>
              </a:graphicData>
            </a:graphic>
          </wp:inline>
        </w:drawing>
      </w:r>
    </w:p>
    <w:p w14:paraId="51556215" w14:textId="38D0CAF5" w:rsidR="00594E69" w:rsidRPr="00594E69" w:rsidRDefault="00594E69" w:rsidP="00D65058">
      <w:pPr>
        <w:pStyle w:val="webnumbered1"/>
      </w:pPr>
      <w:r w:rsidRPr="00594E69">
        <w:t xml:space="preserve">Select the file(s) and click </w:t>
      </w:r>
      <w:r w:rsidRPr="00350062">
        <w:rPr>
          <w:rStyle w:val="webbold"/>
        </w:rPr>
        <w:t>Open</w:t>
      </w:r>
      <w:r w:rsidRPr="00594E69">
        <w:t>. The selected file will display in “Upload file” textbox.</w:t>
      </w:r>
    </w:p>
    <w:p w14:paraId="280D6C47" w14:textId="7CCB513A" w:rsidR="00594E69" w:rsidRPr="00594E69" w:rsidRDefault="00350062" w:rsidP="00350062">
      <w:pPr>
        <w:pStyle w:val="webnumbered1"/>
      </w:pPr>
      <w:r w:rsidRPr="00350062">
        <w:t xml:space="preserve">Click </w:t>
      </w:r>
      <w:r w:rsidRPr="00350062">
        <w:rPr>
          <w:rStyle w:val="webbold"/>
        </w:rPr>
        <w:t>Upload</w:t>
      </w:r>
      <w:r w:rsidRPr="00350062">
        <w:t xml:space="preserve"> to submit the file.</w:t>
      </w:r>
    </w:p>
    <w:p w14:paraId="2D69745F" w14:textId="77777777" w:rsidR="00350062" w:rsidRDefault="00350062" w:rsidP="00594E69">
      <w:pPr>
        <w:pStyle w:val="webnormal"/>
      </w:pPr>
    </w:p>
    <w:p w14:paraId="05D3B552" w14:textId="77777777" w:rsidR="00350062" w:rsidRDefault="00350062" w:rsidP="00594E69">
      <w:pPr>
        <w:pStyle w:val="webnormal"/>
      </w:pPr>
    </w:p>
    <w:p w14:paraId="15D1EE83" w14:textId="7735F5E0" w:rsidR="00350062" w:rsidRDefault="00456019" w:rsidP="00456019">
      <w:pPr>
        <w:pStyle w:val="webcenter"/>
      </w:pPr>
      <w:r w:rsidRPr="00456019">
        <w:rPr>
          <w:noProof/>
        </w:rPr>
        <w:lastRenderedPageBreak/>
        <w:drawing>
          <wp:inline distT="0" distB="0" distL="0" distR="0" wp14:anchorId="6C268C95" wp14:editId="7AE12DE4">
            <wp:extent cx="4610337" cy="3327571"/>
            <wp:effectExtent l="0" t="0" r="0" b="6350"/>
            <wp:docPr id="1884400065" name="Picture 1" descr="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00065" name="Picture 1" descr="upload"/>
                    <pic:cNvPicPr/>
                  </pic:nvPicPr>
                  <pic:blipFill>
                    <a:blip r:embed="rId14"/>
                    <a:stretch>
                      <a:fillRect/>
                    </a:stretch>
                  </pic:blipFill>
                  <pic:spPr>
                    <a:xfrm>
                      <a:off x="0" y="0"/>
                      <a:ext cx="4610337" cy="3327571"/>
                    </a:xfrm>
                    <a:prstGeom prst="rect">
                      <a:avLst/>
                    </a:prstGeom>
                  </pic:spPr>
                </pic:pic>
              </a:graphicData>
            </a:graphic>
          </wp:inline>
        </w:drawing>
      </w:r>
      <w:r w:rsidR="00350062" w:rsidRPr="00350062">
        <w:t xml:space="preserve"> </w:t>
      </w:r>
    </w:p>
    <w:p w14:paraId="25FF9CF0" w14:textId="25DFCD41" w:rsidR="00594E69" w:rsidRPr="00594E69" w:rsidRDefault="00594E69" w:rsidP="00350062">
      <w:pPr>
        <w:pStyle w:val="webnumbered1"/>
      </w:pPr>
      <w:r w:rsidRPr="00594E69">
        <w:t>“A new upload working” pop-up message will be displayed briefly.</w:t>
      </w:r>
    </w:p>
    <w:p w14:paraId="5A345F0E" w14:textId="1257ACE4" w:rsidR="00594E69" w:rsidRPr="00594E69" w:rsidRDefault="00456019" w:rsidP="00456019">
      <w:pPr>
        <w:pStyle w:val="webcenter"/>
      </w:pPr>
      <w:r w:rsidRPr="00456019">
        <w:rPr>
          <w:noProof/>
        </w:rPr>
        <w:drawing>
          <wp:inline distT="0" distB="0" distL="0" distR="0" wp14:anchorId="4890598E" wp14:editId="6BA698E5">
            <wp:extent cx="1981302" cy="825542"/>
            <wp:effectExtent l="0" t="0" r="0" b="0"/>
            <wp:docPr id="878529384" name="Picture 1" descr="a new upload 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29384" name="Picture 1" descr="a new upload working"/>
                    <pic:cNvPicPr/>
                  </pic:nvPicPr>
                  <pic:blipFill>
                    <a:blip r:embed="rId15"/>
                    <a:stretch>
                      <a:fillRect/>
                    </a:stretch>
                  </pic:blipFill>
                  <pic:spPr>
                    <a:xfrm>
                      <a:off x="0" y="0"/>
                      <a:ext cx="1981302" cy="825542"/>
                    </a:xfrm>
                    <a:prstGeom prst="rect">
                      <a:avLst/>
                    </a:prstGeom>
                  </pic:spPr>
                </pic:pic>
              </a:graphicData>
            </a:graphic>
          </wp:inline>
        </w:drawing>
      </w:r>
    </w:p>
    <w:p w14:paraId="262F7AF2" w14:textId="77777777" w:rsidR="00594E69" w:rsidRPr="00594E69" w:rsidRDefault="00594E69" w:rsidP="00350062">
      <w:pPr>
        <w:pStyle w:val="webnumbered1"/>
      </w:pPr>
      <w:r w:rsidRPr="00594E69">
        <w:t xml:space="preserve">Retrieve the </w:t>
      </w:r>
      <w:r w:rsidRPr="00350062">
        <w:rPr>
          <w:rStyle w:val="webbold"/>
        </w:rPr>
        <w:t>999 Acknowledgement Report</w:t>
      </w:r>
      <w:r w:rsidRPr="00594E69">
        <w:t>. This report will display in the Inbox a few minutes after submitting an 837 claim file. This report will tell you if the file is initially accepted or rejected. If rejected, the report will give the reason for rejection.</w:t>
      </w:r>
    </w:p>
    <w:p w14:paraId="5468D3A1" w14:textId="77777777" w:rsidR="00594E69" w:rsidRDefault="00594E69" w:rsidP="00350062">
      <w:pPr>
        <w:pStyle w:val="webindent1"/>
      </w:pPr>
      <w:r w:rsidRPr="00594E69">
        <w:t>Click on the</w:t>
      </w:r>
      <w:r w:rsidRPr="00350062">
        <w:rPr>
          <w:rStyle w:val="webbold"/>
        </w:rPr>
        <w:t xml:space="preserve"> Inbox t</w:t>
      </w:r>
      <w:r w:rsidRPr="00594E69">
        <w:t>ab and look for the Transaction ID starting with 999.</w:t>
      </w:r>
    </w:p>
    <w:p w14:paraId="4D8C114F" w14:textId="200D9ABD" w:rsidR="00456019" w:rsidRDefault="00456019" w:rsidP="00456019">
      <w:pPr>
        <w:pStyle w:val="webcenter"/>
      </w:pPr>
      <w:r w:rsidRPr="00456019">
        <w:rPr>
          <w:noProof/>
        </w:rPr>
        <w:drawing>
          <wp:inline distT="0" distB="0" distL="0" distR="0" wp14:anchorId="44F60A1E" wp14:editId="596657DB">
            <wp:extent cx="3860998" cy="755689"/>
            <wp:effectExtent l="0" t="0" r="6350" b="6350"/>
            <wp:docPr id="137173248" name="Picture 1" descr="in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3248" name="Picture 1" descr="inbox"/>
                    <pic:cNvPicPr/>
                  </pic:nvPicPr>
                  <pic:blipFill>
                    <a:blip r:embed="rId16"/>
                    <a:stretch>
                      <a:fillRect/>
                    </a:stretch>
                  </pic:blipFill>
                  <pic:spPr>
                    <a:xfrm>
                      <a:off x="0" y="0"/>
                      <a:ext cx="3860998" cy="755689"/>
                    </a:xfrm>
                    <a:prstGeom prst="rect">
                      <a:avLst/>
                    </a:prstGeom>
                  </pic:spPr>
                </pic:pic>
              </a:graphicData>
            </a:graphic>
          </wp:inline>
        </w:drawing>
      </w:r>
    </w:p>
    <w:p w14:paraId="0DBE4DEA" w14:textId="795B5697" w:rsidR="00594E69" w:rsidRPr="00594E69" w:rsidRDefault="00456019" w:rsidP="00456019">
      <w:pPr>
        <w:pStyle w:val="webcenter"/>
      </w:pPr>
      <w:r w:rsidRPr="00456019">
        <w:rPr>
          <w:noProof/>
        </w:rPr>
        <w:drawing>
          <wp:inline distT="0" distB="0" distL="0" distR="0" wp14:anchorId="58DC77C8" wp14:editId="4A809F4E">
            <wp:extent cx="4508732" cy="914447"/>
            <wp:effectExtent l="0" t="0" r="6350" b="0"/>
            <wp:docPr id="733885646" name="Picture 1"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85646" name="Picture 1" descr="999"/>
                    <pic:cNvPicPr/>
                  </pic:nvPicPr>
                  <pic:blipFill>
                    <a:blip r:embed="rId17"/>
                    <a:stretch>
                      <a:fillRect/>
                    </a:stretch>
                  </pic:blipFill>
                  <pic:spPr>
                    <a:xfrm>
                      <a:off x="0" y="0"/>
                      <a:ext cx="4508732" cy="914447"/>
                    </a:xfrm>
                    <a:prstGeom prst="rect">
                      <a:avLst/>
                    </a:prstGeom>
                  </pic:spPr>
                </pic:pic>
              </a:graphicData>
            </a:graphic>
          </wp:inline>
        </w:drawing>
      </w:r>
      <w:r w:rsidR="00594E69" w:rsidRPr="00594E69">
        <w:t xml:space="preserve"> </w:t>
      </w:r>
    </w:p>
    <w:p w14:paraId="4CD566BD" w14:textId="687674A2" w:rsidR="00594E69" w:rsidRDefault="00350062" w:rsidP="00350062">
      <w:pPr>
        <w:pStyle w:val="webnumbered1"/>
      </w:pPr>
      <w:r w:rsidRPr="00350062">
        <w:t xml:space="preserve">Select the report from the Inbox list and click </w:t>
      </w:r>
      <w:r w:rsidRPr="00350062">
        <w:rPr>
          <w:rStyle w:val="webbold"/>
        </w:rPr>
        <w:t>Download</w:t>
      </w:r>
      <w:r w:rsidRPr="00350062">
        <w:t>.</w:t>
      </w:r>
    </w:p>
    <w:p w14:paraId="23654751" w14:textId="1452B791" w:rsidR="00350062" w:rsidRPr="00594E69" w:rsidRDefault="00456019" w:rsidP="00456019">
      <w:pPr>
        <w:pStyle w:val="webcenter"/>
      </w:pPr>
      <w:r w:rsidRPr="00456019">
        <w:rPr>
          <w:noProof/>
        </w:rPr>
        <w:lastRenderedPageBreak/>
        <w:drawing>
          <wp:inline distT="0" distB="0" distL="0" distR="0" wp14:anchorId="4458EB66" wp14:editId="11324E03">
            <wp:extent cx="4540483" cy="2495678"/>
            <wp:effectExtent l="0" t="0" r="0" b="0"/>
            <wp:docPr id="960891548"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91548" name="Picture 1" descr="download"/>
                    <pic:cNvPicPr/>
                  </pic:nvPicPr>
                  <pic:blipFill>
                    <a:blip r:embed="rId18"/>
                    <a:stretch>
                      <a:fillRect/>
                    </a:stretch>
                  </pic:blipFill>
                  <pic:spPr>
                    <a:xfrm>
                      <a:off x="0" y="0"/>
                      <a:ext cx="4540483" cy="2495678"/>
                    </a:xfrm>
                    <a:prstGeom prst="rect">
                      <a:avLst/>
                    </a:prstGeom>
                  </pic:spPr>
                </pic:pic>
              </a:graphicData>
            </a:graphic>
          </wp:inline>
        </w:drawing>
      </w:r>
    </w:p>
    <w:p w14:paraId="31D33EB2" w14:textId="48E1B809" w:rsidR="00594E69" w:rsidRPr="00594E69" w:rsidRDefault="00594E69" w:rsidP="006E65FE">
      <w:pPr>
        <w:pStyle w:val="webnumbered1"/>
      </w:pPr>
      <w:r w:rsidRPr="00594E69">
        <w:t xml:space="preserve">Change the File name ending from .dat to </w:t>
      </w:r>
      <w:r w:rsidRPr="00350062">
        <w:rPr>
          <w:rStyle w:val="webbold"/>
        </w:rPr>
        <w:t>.txt</w:t>
      </w:r>
      <w:r w:rsidRPr="00594E69">
        <w:t>.</w:t>
      </w:r>
    </w:p>
    <w:p w14:paraId="10190AEF" w14:textId="21E89E6B" w:rsidR="00594E69" w:rsidRPr="00594E69" w:rsidRDefault="00456019" w:rsidP="00456019">
      <w:pPr>
        <w:pStyle w:val="webcenter"/>
      </w:pPr>
      <w:r w:rsidRPr="00456019">
        <w:rPr>
          <w:noProof/>
        </w:rPr>
        <w:drawing>
          <wp:inline distT="0" distB="0" distL="0" distR="0" wp14:anchorId="74123706" wp14:editId="3D0B1566">
            <wp:extent cx="4851649" cy="977950"/>
            <wp:effectExtent l="0" t="0" r="6350" b="0"/>
            <wp:docPr id="1000223067" name="Picture 1" descr=".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3067" name="Picture 1" descr=".dat"/>
                    <pic:cNvPicPr/>
                  </pic:nvPicPr>
                  <pic:blipFill>
                    <a:blip r:embed="rId19"/>
                    <a:stretch>
                      <a:fillRect/>
                    </a:stretch>
                  </pic:blipFill>
                  <pic:spPr>
                    <a:xfrm>
                      <a:off x="0" y="0"/>
                      <a:ext cx="4851649" cy="977950"/>
                    </a:xfrm>
                    <a:prstGeom prst="rect">
                      <a:avLst/>
                    </a:prstGeom>
                  </pic:spPr>
                </pic:pic>
              </a:graphicData>
            </a:graphic>
          </wp:inline>
        </w:drawing>
      </w:r>
    </w:p>
    <w:p w14:paraId="75156F69" w14:textId="22A1FC3C" w:rsidR="00350062" w:rsidRDefault="00456019" w:rsidP="00456019">
      <w:pPr>
        <w:pStyle w:val="webcenter"/>
      </w:pPr>
      <w:r w:rsidRPr="00456019">
        <w:rPr>
          <w:noProof/>
        </w:rPr>
        <w:drawing>
          <wp:inline distT="0" distB="0" distL="0" distR="0" wp14:anchorId="3B56449E" wp14:editId="32542821">
            <wp:extent cx="4851649" cy="965250"/>
            <wp:effectExtent l="0" t="0" r="6350" b="6350"/>
            <wp:docPr id="126375753" name="Picture 1" descr=".t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5753" name="Picture 1" descr=".txt"/>
                    <pic:cNvPicPr/>
                  </pic:nvPicPr>
                  <pic:blipFill>
                    <a:blip r:embed="rId20"/>
                    <a:stretch>
                      <a:fillRect/>
                    </a:stretch>
                  </pic:blipFill>
                  <pic:spPr>
                    <a:xfrm>
                      <a:off x="0" y="0"/>
                      <a:ext cx="4851649" cy="965250"/>
                    </a:xfrm>
                    <a:prstGeom prst="rect">
                      <a:avLst/>
                    </a:prstGeom>
                  </pic:spPr>
                </pic:pic>
              </a:graphicData>
            </a:graphic>
          </wp:inline>
        </w:drawing>
      </w:r>
    </w:p>
    <w:p w14:paraId="115A7841" w14:textId="6C6572ED" w:rsidR="006E65FE" w:rsidRDefault="006E65FE" w:rsidP="006E65FE">
      <w:pPr>
        <w:pStyle w:val="webnumbered1"/>
      </w:pPr>
      <w:r w:rsidRPr="006E65FE">
        <w:t>Change the ‘Save as type’ field to ‘</w:t>
      </w:r>
      <w:r w:rsidRPr="006E65FE">
        <w:rPr>
          <w:rStyle w:val="webbold"/>
        </w:rPr>
        <w:t>All Files (*.*)</w:t>
      </w:r>
      <w:r w:rsidRPr="006E65FE">
        <w:t>’.</w:t>
      </w:r>
    </w:p>
    <w:p w14:paraId="6A27561F" w14:textId="7FB7BBA1" w:rsidR="006E65FE" w:rsidRDefault="00456019" w:rsidP="00456019">
      <w:pPr>
        <w:pStyle w:val="webcenter"/>
      </w:pPr>
      <w:r w:rsidRPr="00456019">
        <w:rPr>
          <w:noProof/>
        </w:rPr>
        <w:drawing>
          <wp:inline distT="0" distB="0" distL="0" distR="0" wp14:anchorId="46A61157" wp14:editId="6BF40833">
            <wp:extent cx="4851649" cy="965250"/>
            <wp:effectExtent l="0" t="0" r="6350" b="6350"/>
            <wp:docPr id="648415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15924" name=""/>
                    <pic:cNvPicPr/>
                  </pic:nvPicPr>
                  <pic:blipFill>
                    <a:blip r:embed="rId21"/>
                    <a:stretch>
                      <a:fillRect/>
                    </a:stretch>
                  </pic:blipFill>
                  <pic:spPr>
                    <a:xfrm>
                      <a:off x="0" y="0"/>
                      <a:ext cx="4851649" cy="965250"/>
                    </a:xfrm>
                    <a:prstGeom prst="rect">
                      <a:avLst/>
                    </a:prstGeom>
                  </pic:spPr>
                </pic:pic>
              </a:graphicData>
            </a:graphic>
          </wp:inline>
        </w:drawing>
      </w:r>
    </w:p>
    <w:p w14:paraId="363DC044" w14:textId="7378537A" w:rsidR="00594E69" w:rsidRPr="00594E69" w:rsidRDefault="00594E69" w:rsidP="006E65FE">
      <w:pPr>
        <w:pStyle w:val="webnumbered1"/>
      </w:pPr>
      <w:r w:rsidRPr="00594E69">
        <w:t xml:space="preserve">Navigate to the proper location on your computer and click </w:t>
      </w:r>
      <w:r w:rsidRPr="006E65FE">
        <w:rPr>
          <w:rStyle w:val="webbold"/>
        </w:rPr>
        <w:t>Save</w:t>
      </w:r>
      <w:r w:rsidRPr="00594E69">
        <w:t>.</w:t>
      </w:r>
    </w:p>
    <w:p w14:paraId="4ABF4D99" w14:textId="77777777" w:rsidR="00594E69" w:rsidRPr="00594E69" w:rsidRDefault="00594E69" w:rsidP="006E65FE">
      <w:pPr>
        <w:pStyle w:val="webnumbered1"/>
      </w:pPr>
      <w:r w:rsidRPr="00594E69">
        <w:t>Open and interpret the 999 Acknowledgement Report. This report is not reader-friendly and will require software to interpret. The below resources are available to assist with interpretation:</w:t>
      </w:r>
    </w:p>
    <w:p w14:paraId="2810D39B" w14:textId="502A9A07" w:rsidR="00594E69" w:rsidRPr="00594E69" w:rsidRDefault="00C1079F" w:rsidP="006E65FE">
      <w:pPr>
        <w:pStyle w:val="webbullet2"/>
      </w:pPr>
      <w:hyperlink r:id="rId22" w:history="1">
        <w:r w:rsidR="00594E69" w:rsidRPr="006E65FE">
          <w:rPr>
            <w:rStyle w:val="Hyperlink"/>
          </w:rPr>
          <w:t>Understanding the 999 Implementation Acknowledgement Report</w:t>
        </w:r>
      </w:hyperlink>
    </w:p>
    <w:p w14:paraId="28929FCD" w14:textId="28472C7D" w:rsidR="00594E69" w:rsidRPr="00594E69" w:rsidRDefault="00594E69" w:rsidP="006E65FE">
      <w:pPr>
        <w:pStyle w:val="webbullet2"/>
      </w:pPr>
      <w:r w:rsidRPr="00594E69">
        <w:t>PC-ACE software (</w:t>
      </w:r>
      <w:hyperlink r:id="rId23" w:history="1">
        <w:r w:rsidRPr="006E65FE">
          <w:rPr>
            <w:rStyle w:val="Hyperlink"/>
          </w:rPr>
          <w:t>J</w:t>
        </w:r>
        <w:r w:rsidR="006E65FE" w:rsidRPr="006E65FE">
          <w:rPr>
            <w:rStyle w:val="Hyperlink"/>
          </w:rPr>
          <w:t>H</w:t>
        </w:r>
      </w:hyperlink>
      <w:r w:rsidRPr="00594E69">
        <w:t>)(</w:t>
      </w:r>
      <w:hyperlink r:id="rId24" w:history="1">
        <w:r w:rsidRPr="006E65FE">
          <w:rPr>
            <w:rStyle w:val="Hyperlink"/>
          </w:rPr>
          <w:t>J</w:t>
        </w:r>
        <w:r w:rsidR="006E65FE" w:rsidRPr="006E65FE">
          <w:rPr>
            <w:rStyle w:val="Hyperlink"/>
          </w:rPr>
          <w:t>L</w:t>
        </w:r>
      </w:hyperlink>
      <w:r w:rsidRPr="00594E69">
        <w:t>) – provides the 999 and 277CA reports in a reader-friendly format</w:t>
      </w:r>
    </w:p>
    <w:p w14:paraId="2A29919F" w14:textId="77777777" w:rsidR="00594E69" w:rsidRPr="00594E69" w:rsidRDefault="00594E69" w:rsidP="006E65FE">
      <w:pPr>
        <w:pStyle w:val="webnumbered1"/>
      </w:pPr>
      <w:r w:rsidRPr="00594E69">
        <w:t xml:space="preserve">Retrieve the </w:t>
      </w:r>
      <w:r w:rsidRPr="006E65FE">
        <w:rPr>
          <w:rStyle w:val="webbold"/>
        </w:rPr>
        <w:t>277CA Claims Acknowledgement Report</w:t>
      </w:r>
      <w:r w:rsidRPr="00594E69">
        <w:t>. This report will display in the Inbox a few minutes after a 999 Acknowledgement Report without any errors. This report will tell you if each claim was accepted for processing or was rejected. If rejected, the report will give the reason for rejection.</w:t>
      </w:r>
    </w:p>
    <w:p w14:paraId="5DD85109" w14:textId="77777777" w:rsidR="00594E69" w:rsidRPr="00594E69" w:rsidRDefault="00594E69" w:rsidP="00456019">
      <w:pPr>
        <w:pStyle w:val="webnumbered1"/>
      </w:pPr>
      <w:r w:rsidRPr="00594E69">
        <w:t>Click on the</w:t>
      </w:r>
      <w:r w:rsidRPr="006E65FE">
        <w:rPr>
          <w:rStyle w:val="webbold"/>
        </w:rPr>
        <w:t xml:space="preserve"> Inbox</w:t>
      </w:r>
      <w:r w:rsidRPr="00594E69">
        <w:t xml:space="preserve"> tab and look for the Transaction ID starting with 277CA.</w:t>
      </w:r>
    </w:p>
    <w:p w14:paraId="7D61FF3D" w14:textId="1E25AB4F" w:rsidR="006E65FE" w:rsidRDefault="006E65FE" w:rsidP="006E65FE">
      <w:pPr>
        <w:pStyle w:val="webnumbered1"/>
      </w:pPr>
      <w:r w:rsidRPr="006E65FE">
        <w:t xml:space="preserve">Select the report from the Inbox list and click </w:t>
      </w:r>
      <w:r w:rsidRPr="006E65FE">
        <w:rPr>
          <w:rStyle w:val="webbold"/>
        </w:rPr>
        <w:t>Download</w:t>
      </w:r>
      <w:r w:rsidRPr="006E65FE">
        <w:t>.</w:t>
      </w:r>
    </w:p>
    <w:p w14:paraId="4FB15ECA" w14:textId="6EF3CEAE" w:rsidR="00594E69" w:rsidRPr="00594E69" w:rsidRDefault="00594E69" w:rsidP="00456019">
      <w:pPr>
        <w:pStyle w:val="webnumbered1"/>
      </w:pPr>
      <w:r w:rsidRPr="00594E69">
        <w:lastRenderedPageBreak/>
        <w:t xml:space="preserve">Change the File name ending from .dat to </w:t>
      </w:r>
      <w:r w:rsidRPr="006E65FE">
        <w:rPr>
          <w:rStyle w:val="webbold"/>
        </w:rPr>
        <w:t>.txt</w:t>
      </w:r>
      <w:r w:rsidRPr="00594E69">
        <w:t>.</w:t>
      </w:r>
      <w:r w:rsidR="006E65FE" w:rsidRPr="006E65FE">
        <w:t>hange the ‘Save as type’ field to ‘</w:t>
      </w:r>
      <w:r w:rsidR="006E65FE" w:rsidRPr="006E65FE">
        <w:rPr>
          <w:rStyle w:val="webbold"/>
        </w:rPr>
        <w:t>All Files (*.*)</w:t>
      </w:r>
      <w:r w:rsidR="006E65FE" w:rsidRPr="006E65FE">
        <w:t>’.</w:t>
      </w:r>
    </w:p>
    <w:p w14:paraId="06BD707D" w14:textId="77777777" w:rsidR="00594E69" w:rsidRPr="00594E69" w:rsidRDefault="00594E69" w:rsidP="006E65FE">
      <w:pPr>
        <w:pStyle w:val="webnumbered1"/>
      </w:pPr>
      <w:r w:rsidRPr="00594E69">
        <w:t xml:space="preserve">Navigate to the proper location on your computer and click </w:t>
      </w:r>
      <w:r w:rsidRPr="006E65FE">
        <w:rPr>
          <w:rStyle w:val="webbold"/>
        </w:rPr>
        <w:t>Save</w:t>
      </w:r>
      <w:r w:rsidRPr="00594E69">
        <w:t>.</w:t>
      </w:r>
    </w:p>
    <w:p w14:paraId="53DC98D9" w14:textId="77777777" w:rsidR="00594E69" w:rsidRPr="00594E69" w:rsidRDefault="00594E69" w:rsidP="006E65FE">
      <w:pPr>
        <w:pStyle w:val="webnumbered1"/>
      </w:pPr>
      <w:r w:rsidRPr="00594E69">
        <w:t>Open and interpret the</w:t>
      </w:r>
      <w:r w:rsidRPr="00B25BE2">
        <w:rPr>
          <w:rStyle w:val="webbold"/>
        </w:rPr>
        <w:t xml:space="preserve"> 277CA Claims Acknowledgement Report</w:t>
      </w:r>
      <w:r w:rsidRPr="00594E69">
        <w:t>. This report is not reader-friendly and will require software to interpret. The below resources are available to assist with interpretation:</w:t>
      </w:r>
    </w:p>
    <w:p w14:paraId="50E09060" w14:textId="7BDB93E4" w:rsidR="00594E69" w:rsidRPr="00594E69" w:rsidRDefault="00C1079F" w:rsidP="006E65FE">
      <w:pPr>
        <w:pStyle w:val="webbullet2"/>
      </w:pPr>
      <w:hyperlink r:id="rId25" w:history="1">
        <w:r w:rsidR="00594E69" w:rsidRPr="006E65FE">
          <w:rPr>
            <w:rStyle w:val="Hyperlink"/>
          </w:rPr>
          <w:t>Understanding the 277CA Claims Acknowledgement Report</w:t>
        </w:r>
      </w:hyperlink>
    </w:p>
    <w:p w14:paraId="520FA105" w14:textId="164C47CD" w:rsidR="00594E69" w:rsidRPr="00594E69" w:rsidRDefault="00594E69" w:rsidP="006E65FE">
      <w:pPr>
        <w:pStyle w:val="webbullet2"/>
      </w:pPr>
      <w:r w:rsidRPr="00594E69">
        <w:t>277CA Rejection Code Lookup (</w:t>
      </w:r>
      <w:hyperlink r:id="rId26" w:history="1">
        <w:r w:rsidRPr="00EC43BB">
          <w:rPr>
            <w:rStyle w:val="Hyperlink"/>
          </w:rPr>
          <w:t>J</w:t>
        </w:r>
        <w:r w:rsidR="00EC43BB" w:rsidRPr="00EC43BB">
          <w:rPr>
            <w:rStyle w:val="Hyperlink"/>
          </w:rPr>
          <w:t>H</w:t>
        </w:r>
      </w:hyperlink>
      <w:r w:rsidRPr="00594E69">
        <w:t>)(</w:t>
      </w:r>
      <w:hyperlink r:id="rId27" w:history="1">
        <w:r w:rsidRPr="00EC43BB">
          <w:rPr>
            <w:rStyle w:val="Hyperlink"/>
          </w:rPr>
          <w:t>J</w:t>
        </w:r>
        <w:r w:rsidR="00EC43BB" w:rsidRPr="00EC43BB">
          <w:rPr>
            <w:rStyle w:val="Hyperlink"/>
          </w:rPr>
          <w:t>L</w:t>
        </w:r>
      </w:hyperlink>
      <w:r w:rsidRPr="00594E69">
        <w:t>) tool</w:t>
      </w:r>
    </w:p>
    <w:p w14:paraId="3CA1171B" w14:textId="2B0DD902" w:rsidR="00594E69" w:rsidRDefault="00594E69" w:rsidP="006E65FE">
      <w:pPr>
        <w:pStyle w:val="webbullet2"/>
      </w:pPr>
      <w:r w:rsidRPr="00594E69">
        <w:t>PC-ACE software (</w:t>
      </w:r>
      <w:hyperlink r:id="rId28" w:history="1">
        <w:r w:rsidRPr="00EC43BB">
          <w:rPr>
            <w:rStyle w:val="Hyperlink"/>
          </w:rPr>
          <w:t>J</w:t>
        </w:r>
        <w:r w:rsidR="00EC43BB" w:rsidRPr="00EC43BB">
          <w:rPr>
            <w:rStyle w:val="Hyperlink"/>
          </w:rPr>
          <w:t>H</w:t>
        </w:r>
      </w:hyperlink>
      <w:r w:rsidRPr="00594E69">
        <w:t>)(</w:t>
      </w:r>
      <w:hyperlink r:id="rId29" w:history="1">
        <w:r w:rsidRPr="00EC43BB">
          <w:rPr>
            <w:rStyle w:val="Hyperlink"/>
          </w:rPr>
          <w:t>J</w:t>
        </w:r>
        <w:r w:rsidR="00EC43BB" w:rsidRPr="00EC43BB">
          <w:rPr>
            <w:rStyle w:val="Hyperlink"/>
          </w:rPr>
          <w:t>L</w:t>
        </w:r>
      </w:hyperlink>
      <w:r w:rsidRPr="00594E69">
        <w:t>) – provides the 999 and 277CA reports in a reader-friendly format.</w:t>
      </w:r>
    </w:p>
    <w:p w14:paraId="7FE1C887" w14:textId="6770BA7E" w:rsidR="00B25BE2" w:rsidRDefault="00B25BE2" w:rsidP="00B25BE2">
      <w:pPr>
        <w:pStyle w:val="webnumbered1"/>
      </w:pPr>
      <w:r>
        <w:t xml:space="preserve">If Electronic Remittance Advice (ERA) files were setup to your Novitasphere portal submitter ID at the time of enrollment, open and interpret the </w:t>
      </w:r>
      <w:r w:rsidRPr="00E124FE">
        <w:rPr>
          <w:rStyle w:val="webbold"/>
        </w:rPr>
        <w:t>835 ERA</w:t>
      </w:r>
      <w:r>
        <w:t xml:space="preserve"> file. </w:t>
      </w:r>
    </w:p>
    <w:p w14:paraId="65E345E1" w14:textId="77777777" w:rsidR="00E124FE" w:rsidRPr="00E124FE" w:rsidRDefault="00E124FE" w:rsidP="00E124FE">
      <w:pPr>
        <w:pStyle w:val="webnumbered1"/>
      </w:pPr>
      <w:r w:rsidRPr="00E124FE">
        <w:t xml:space="preserve">Click on the </w:t>
      </w:r>
      <w:r w:rsidRPr="00E124FE">
        <w:rPr>
          <w:rStyle w:val="webbold"/>
        </w:rPr>
        <w:t>Inbox</w:t>
      </w:r>
      <w:r w:rsidRPr="00E124FE">
        <w:t xml:space="preserve"> tab and look for the Transaction ID starting with 835.</w:t>
      </w:r>
    </w:p>
    <w:p w14:paraId="5AFCA81F" w14:textId="77777777" w:rsidR="00E124FE" w:rsidRPr="00E124FE" w:rsidRDefault="00E124FE" w:rsidP="00E124FE">
      <w:pPr>
        <w:pStyle w:val="webnumbered1"/>
      </w:pPr>
      <w:r w:rsidRPr="00E124FE">
        <w:t xml:space="preserve">Select the report from the Inbox list and click </w:t>
      </w:r>
      <w:r w:rsidRPr="00E124FE">
        <w:rPr>
          <w:rStyle w:val="webbold"/>
        </w:rPr>
        <w:t>Download</w:t>
      </w:r>
      <w:r w:rsidRPr="00E124FE">
        <w:t>.</w:t>
      </w:r>
    </w:p>
    <w:p w14:paraId="29CA8FDE" w14:textId="77777777" w:rsidR="00E124FE" w:rsidRPr="00E124FE" w:rsidRDefault="00E124FE" w:rsidP="00E124FE">
      <w:pPr>
        <w:pStyle w:val="webnumbered1"/>
      </w:pPr>
      <w:r w:rsidRPr="00E124FE">
        <w:t>Change the File name ending from .dat to</w:t>
      </w:r>
      <w:r w:rsidRPr="00E124FE">
        <w:rPr>
          <w:rStyle w:val="webbold"/>
        </w:rPr>
        <w:t xml:space="preserve"> .txt</w:t>
      </w:r>
      <w:r w:rsidRPr="00E124FE">
        <w:t>.</w:t>
      </w:r>
    </w:p>
    <w:p w14:paraId="5AFE12FC" w14:textId="77777777" w:rsidR="00E124FE" w:rsidRPr="00E124FE" w:rsidRDefault="00E124FE" w:rsidP="00E124FE">
      <w:pPr>
        <w:pStyle w:val="webnumbered1"/>
      </w:pPr>
      <w:r w:rsidRPr="00E124FE">
        <w:t>Change the ‘Save as type’ field to ‘</w:t>
      </w:r>
      <w:r w:rsidRPr="00E124FE">
        <w:rPr>
          <w:rStyle w:val="webbold"/>
        </w:rPr>
        <w:t>All Files (*.*)</w:t>
      </w:r>
      <w:r w:rsidRPr="00E124FE">
        <w:t>’.</w:t>
      </w:r>
    </w:p>
    <w:p w14:paraId="602B377E" w14:textId="77777777" w:rsidR="00E124FE" w:rsidRPr="00E124FE" w:rsidRDefault="00E124FE" w:rsidP="00E124FE">
      <w:pPr>
        <w:pStyle w:val="webnumbered1"/>
      </w:pPr>
      <w:r w:rsidRPr="00E124FE">
        <w:t xml:space="preserve">Navigate to the proper location on your computer and click </w:t>
      </w:r>
      <w:r w:rsidRPr="00E124FE">
        <w:rPr>
          <w:rStyle w:val="webbold"/>
        </w:rPr>
        <w:t>Save</w:t>
      </w:r>
      <w:r w:rsidRPr="00E124FE">
        <w:t>.</w:t>
      </w:r>
    </w:p>
    <w:p w14:paraId="74FCD6D4" w14:textId="77777777" w:rsidR="00E124FE" w:rsidRPr="00E124FE" w:rsidRDefault="00E124FE" w:rsidP="00E124FE">
      <w:pPr>
        <w:pStyle w:val="webnumbered1"/>
      </w:pPr>
      <w:r w:rsidRPr="00E124FE">
        <w:t>Open and interpret the 835 ERA. This report is not reader-friendly and will require software to interpret. Novitas Solutions offers the following free software options for this function:</w:t>
      </w:r>
    </w:p>
    <w:p w14:paraId="22CA7F19" w14:textId="77777777" w:rsidR="00E124FE" w:rsidRPr="00E124FE" w:rsidRDefault="00C1079F" w:rsidP="00E124FE">
      <w:pPr>
        <w:pStyle w:val="webbullet2"/>
      </w:pPr>
      <w:hyperlink r:id="rId30" w:history="1">
        <w:r w:rsidR="00E124FE" w:rsidRPr="00E124FE">
          <w:rPr>
            <w:rStyle w:val="Hyperlink"/>
          </w:rPr>
          <w:t>PC-Print</w:t>
        </w:r>
      </w:hyperlink>
      <w:r w:rsidR="00E124FE" w:rsidRPr="00E124FE">
        <w:t xml:space="preserve"> for Part A ERA</w:t>
      </w:r>
    </w:p>
    <w:p w14:paraId="4D7AB421" w14:textId="77777777" w:rsidR="00E124FE" w:rsidRPr="00E124FE" w:rsidRDefault="00C1079F" w:rsidP="00E124FE">
      <w:pPr>
        <w:pStyle w:val="webbullet2"/>
      </w:pPr>
      <w:hyperlink r:id="rId31" w:history="1">
        <w:r w:rsidR="00E124FE" w:rsidRPr="00E124FE">
          <w:rPr>
            <w:rStyle w:val="Hyperlink"/>
          </w:rPr>
          <w:t>Medicare Remit Easy Print (MREP)</w:t>
        </w:r>
      </w:hyperlink>
      <w:r w:rsidR="00E124FE" w:rsidRPr="00E124FE">
        <w:t xml:space="preserve"> for Part B ERA</w:t>
      </w:r>
    </w:p>
    <w:p w14:paraId="3688188B" w14:textId="48FBD331" w:rsidR="00B25BE2" w:rsidRPr="00B25BE2" w:rsidRDefault="00B25BE2" w:rsidP="00B25BE2">
      <w:pPr>
        <w:pStyle w:val="webnormal"/>
        <w:rPr>
          <w:rStyle w:val="webbold"/>
        </w:rPr>
      </w:pPr>
      <w:bookmarkStart w:id="0" w:name="_Hlk126322700"/>
      <w:r w:rsidRPr="00B25BE2">
        <w:rPr>
          <w:rStyle w:val="webbold"/>
        </w:rPr>
        <w:t>Identifying crossover claims on the electronic remittance advice (ERA)</w:t>
      </w:r>
    </w:p>
    <w:p w14:paraId="565A1344" w14:textId="01ECBE5D" w:rsidR="00DA4ED2" w:rsidRPr="00594E69" w:rsidRDefault="00B25BE2" w:rsidP="00E124FE">
      <w:pPr>
        <w:pStyle w:val="webnormal"/>
      </w:pPr>
      <w:r w:rsidRPr="00B25BE2">
        <w:t>If the insurer has a Coordination of Benefits Agreement (COBA) with Medicare, then Medicare will crossover and transmit enrollee eligibility data and Medicare adjudicated claim data to the supplemental insurer.</w:t>
      </w:r>
      <w:r w:rsidR="005617DB">
        <w:t xml:space="preserve"> </w:t>
      </w:r>
      <w:r w:rsidRPr="00B25BE2">
        <w:t>For more information, visit the </w:t>
      </w:r>
      <w:hyperlink r:id="rId32" w:anchor="TopOfPage" w:history="1">
        <w:r w:rsidRPr="00B25BE2">
          <w:rPr>
            <w:rStyle w:val="Hyperlink"/>
          </w:rPr>
          <w:t>COBA webpage</w:t>
        </w:r>
      </w:hyperlink>
      <w:r w:rsidRPr="00B25BE2">
        <w:t>.</w:t>
      </w:r>
      <w:r w:rsidR="005617DB">
        <w:t xml:space="preserve"> </w:t>
      </w:r>
      <w:r w:rsidRPr="00B25BE2">
        <w:t>Using the Novitasphere Claim Submission/ERA feature, the crossover information can be found on the ANSI 835 ERA in the "TRANSFER TO (COB)" field. The Trading Partner's ID will be in the "ID CODE" field on the ERA. If the claim crossed over to multiple Trading Partners, only the first one will be listed on the ERA.</w:t>
      </w:r>
      <w:r w:rsidR="005617DB">
        <w:t xml:space="preserve"> </w:t>
      </w:r>
      <w:r w:rsidRPr="00B25BE2">
        <w:t>Using the Trading Partner ID, you can look up the other insurer that the claim crossed over to here:</w:t>
      </w:r>
      <w:r w:rsidR="005617DB">
        <w:t xml:space="preserve"> </w:t>
      </w:r>
      <w:hyperlink r:id="rId33" w:tgtFrame="_blank" w:history="1">
        <w:r w:rsidRPr="00B25BE2">
          <w:rPr>
            <w:rStyle w:val="Hyperlink"/>
          </w:rPr>
          <w:t>COBA Trading Partners Customer Service Contacts - June 2022</w:t>
        </w:r>
      </w:hyperlink>
      <w:r w:rsidRPr="00B25BE2">
        <w:t> (list of automatic crossover Trading Partners in production).</w:t>
      </w:r>
      <w:bookmarkEnd w:id="0"/>
    </w:p>
    <w:sectPr w:rsidR="00DA4ED2" w:rsidRPr="00594E69"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235713">
    <w:abstractNumId w:val="11"/>
  </w:num>
  <w:num w:numId="2" w16cid:durableId="801312571">
    <w:abstractNumId w:val="13"/>
  </w:num>
  <w:num w:numId="3" w16cid:durableId="432164116">
    <w:abstractNumId w:val="10"/>
  </w:num>
  <w:num w:numId="4" w16cid:durableId="433329200">
    <w:abstractNumId w:val="16"/>
  </w:num>
  <w:num w:numId="5" w16cid:durableId="782504338">
    <w:abstractNumId w:val="12"/>
  </w:num>
  <w:num w:numId="6" w16cid:durableId="914516311">
    <w:abstractNumId w:val="14"/>
  </w:num>
  <w:num w:numId="7" w16cid:durableId="970523536">
    <w:abstractNumId w:val="12"/>
  </w:num>
  <w:num w:numId="8" w16cid:durableId="929579112">
    <w:abstractNumId w:val="16"/>
  </w:num>
  <w:num w:numId="9" w16cid:durableId="843666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69278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135443">
    <w:abstractNumId w:val="11"/>
  </w:num>
  <w:num w:numId="12" w16cid:durableId="164423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417514">
    <w:abstractNumId w:val="9"/>
  </w:num>
  <w:num w:numId="14" w16cid:durableId="2009212705">
    <w:abstractNumId w:val="7"/>
  </w:num>
  <w:num w:numId="15" w16cid:durableId="1450007304">
    <w:abstractNumId w:val="6"/>
  </w:num>
  <w:num w:numId="16" w16cid:durableId="1163549481">
    <w:abstractNumId w:val="5"/>
  </w:num>
  <w:num w:numId="17" w16cid:durableId="802116308">
    <w:abstractNumId w:val="4"/>
  </w:num>
  <w:num w:numId="18" w16cid:durableId="1104572400">
    <w:abstractNumId w:val="8"/>
  </w:num>
  <w:num w:numId="19" w16cid:durableId="937367329">
    <w:abstractNumId w:val="3"/>
  </w:num>
  <w:num w:numId="20" w16cid:durableId="354307568">
    <w:abstractNumId w:val="2"/>
  </w:num>
  <w:num w:numId="21" w16cid:durableId="1857572777">
    <w:abstractNumId w:val="1"/>
  </w:num>
  <w:num w:numId="22" w16cid:durableId="1063865866">
    <w:abstractNumId w:val="0"/>
  </w:num>
  <w:num w:numId="23" w16cid:durableId="485098800">
    <w:abstractNumId w:val="15"/>
  </w:num>
  <w:num w:numId="24" w16cid:durableId="229582855">
    <w:abstractNumId w:val="13"/>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0D"/>
    <w:rsid w:val="000A104B"/>
    <w:rsid w:val="000C1D4A"/>
    <w:rsid w:val="00130DF9"/>
    <w:rsid w:val="00145DCD"/>
    <w:rsid w:val="00150767"/>
    <w:rsid w:val="00157BBA"/>
    <w:rsid w:val="001A0AB9"/>
    <w:rsid w:val="001C4E73"/>
    <w:rsid w:val="00202A27"/>
    <w:rsid w:val="002034CA"/>
    <w:rsid w:val="00247BF2"/>
    <w:rsid w:val="00272E35"/>
    <w:rsid w:val="002B288B"/>
    <w:rsid w:val="002F0F0D"/>
    <w:rsid w:val="00333A26"/>
    <w:rsid w:val="00350062"/>
    <w:rsid w:val="00391469"/>
    <w:rsid w:val="00393848"/>
    <w:rsid w:val="003F02CA"/>
    <w:rsid w:val="004162AE"/>
    <w:rsid w:val="004335C2"/>
    <w:rsid w:val="0044660A"/>
    <w:rsid w:val="00456019"/>
    <w:rsid w:val="004714B0"/>
    <w:rsid w:val="0049375B"/>
    <w:rsid w:val="00551776"/>
    <w:rsid w:val="005617DB"/>
    <w:rsid w:val="0057673A"/>
    <w:rsid w:val="00594E69"/>
    <w:rsid w:val="005C3882"/>
    <w:rsid w:val="005F192D"/>
    <w:rsid w:val="00627B64"/>
    <w:rsid w:val="00632C35"/>
    <w:rsid w:val="006573BC"/>
    <w:rsid w:val="00690182"/>
    <w:rsid w:val="00691F2B"/>
    <w:rsid w:val="006E3869"/>
    <w:rsid w:val="006E39B0"/>
    <w:rsid w:val="006E65FE"/>
    <w:rsid w:val="0073729C"/>
    <w:rsid w:val="007925FC"/>
    <w:rsid w:val="007A5A7F"/>
    <w:rsid w:val="007B479D"/>
    <w:rsid w:val="007D24BF"/>
    <w:rsid w:val="00803F9D"/>
    <w:rsid w:val="008123FC"/>
    <w:rsid w:val="00861C2B"/>
    <w:rsid w:val="0088323E"/>
    <w:rsid w:val="00891872"/>
    <w:rsid w:val="008A0E01"/>
    <w:rsid w:val="008F343B"/>
    <w:rsid w:val="00922AB0"/>
    <w:rsid w:val="009312AD"/>
    <w:rsid w:val="009449A2"/>
    <w:rsid w:val="009811F7"/>
    <w:rsid w:val="00986FB4"/>
    <w:rsid w:val="00990401"/>
    <w:rsid w:val="00A01671"/>
    <w:rsid w:val="00AC61C3"/>
    <w:rsid w:val="00B25BE2"/>
    <w:rsid w:val="00B2746C"/>
    <w:rsid w:val="00B8675F"/>
    <w:rsid w:val="00BC621F"/>
    <w:rsid w:val="00BD0D44"/>
    <w:rsid w:val="00BE35C1"/>
    <w:rsid w:val="00C071D3"/>
    <w:rsid w:val="00C1079F"/>
    <w:rsid w:val="00C16A79"/>
    <w:rsid w:val="00C261AE"/>
    <w:rsid w:val="00C719C3"/>
    <w:rsid w:val="00D05EB8"/>
    <w:rsid w:val="00D1028D"/>
    <w:rsid w:val="00D11DDE"/>
    <w:rsid w:val="00D511AB"/>
    <w:rsid w:val="00DA4ED2"/>
    <w:rsid w:val="00DC4629"/>
    <w:rsid w:val="00E124FE"/>
    <w:rsid w:val="00E60C0C"/>
    <w:rsid w:val="00E62281"/>
    <w:rsid w:val="00E635D6"/>
    <w:rsid w:val="00EA68CB"/>
    <w:rsid w:val="00EC43BB"/>
    <w:rsid w:val="00F01D04"/>
    <w:rsid w:val="00F05088"/>
    <w:rsid w:val="00F23054"/>
    <w:rsid w:val="00F93D95"/>
    <w:rsid w:val="00FA5E7F"/>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B5D18"/>
  <w15:docId w15:val="{8EE01C27-9F78-422E-98E1-051F0FF3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paragraph" w:styleId="Heading1">
    <w:name w:val="heading 1"/>
    <w:basedOn w:val="Normal"/>
    <w:next w:val="Normal"/>
    <w:link w:val="Heading1Char"/>
    <w:uiPriority w:val="9"/>
    <w:qFormat/>
    <w:locked/>
    <w:rsid w:val="002F0F0D"/>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1Char">
    <w:name w:val="Heading 1 Char"/>
    <w:basedOn w:val="DefaultParagraphFont"/>
    <w:link w:val="Heading1"/>
    <w:uiPriority w:val="9"/>
    <w:rsid w:val="002F0F0D"/>
    <w:rPr>
      <w:rFonts w:asciiTheme="majorHAnsi" w:eastAsiaTheme="majorEastAsia" w:hAnsiTheme="majorHAnsi" w:cstheme="majorBidi"/>
      <w:b/>
      <w:bCs/>
      <w:color w:val="365F91" w:themeColor="accent1" w:themeShade="BF"/>
    </w:rPr>
  </w:style>
  <w:style w:type="character" w:customStyle="1" w:styleId="UnresolvedMention1">
    <w:name w:val="Unresolved Mention1"/>
    <w:basedOn w:val="DefaultParagraphFont"/>
    <w:uiPriority w:val="99"/>
    <w:semiHidden/>
    <w:unhideWhenUsed/>
    <w:rsid w:val="00922AB0"/>
    <w:rPr>
      <w:color w:val="605E5C"/>
      <w:shd w:val="clear" w:color="auto" w:fill="E1DFDD"/>
    </w:rPr>
  </w:style>
  <w:style w:type="character" w:styleId="CommentReference">
    <w:name w:val="annotation reference"/>
    <w:basedOn w:val="DefaultParagraphFont"/>
    <w:uiPriority w:val="99"/>
    <w:semiHidden/>
    <w:unhideWhenUsed/>
    <w:locked/>
    <w:rsid w:val="00F93D95"/>
    <w:rPr>
      <w:sz w:val="16"/>
      <w:szCs w:val="16"/>
    </w:rPr>
  </w:style>
  <w:style w:type="paragraph" w:styleId="CommentText">
    <w:name w:val="annotation text"/>
    <w:basedOn w:val="Normal"/>
    <w:link w:val="CommentTextChar"/>
    <w:uiPriority w:val="99"/>
    <w:semiHidden/>
    <w:unhideWhenUsed/>
    <w:locked/>
    <w:rsid w:val="00F93D95"/>
    <w:rPr>
      <w:sz w:val="20"/>
      <w:szCs w:val="20"/>
    </w:rPr>
  </w:style>
  <w:style w:type="character" w:customStyle="1" w:styleId="CommentTextChar">
    <w:name w:val="Comment Text Char"/>
    <w:basedOn w:val="DefaultParagraphFont"/>
    <w:link w:val="CommentText"/>
    <w:uiPriority w:val="99"/>
    <w:semiHidden/>
    <w:rsid w:val="00F93D95"/>
    <w:rPr>
      <w:sz w:val="20"/>
      <w:szCs w:val="20"/>
    </w:rPr>
  </w:style>
  <w:style w:type="paragraph" w:styleId="CommentSubject">
    <w:name w:val="annotation subject"/>
    <w:basedOn w:val="CommentText"/>
    <w:next w:val="CommentText"/>
    <w:link w:val="CommentSubjectChar"/>
    <w:uiPriority w:val="99"/>
    <w:semiHidden/>
    <w:unhideWhenUsed/>
    <w:locked/>
    <w:rsid w:val="00F93D95"/>
    <w:rPr>
      <w:b/>
      <w:bCs/>
    </w:rPr>
  </w:style>
  <w:style w:type="character" w:customStyle="1" w:styleId="CommentSubjectChar">
    <w:name w:val="Comment Subject Char"/>
    <w:basedOn w:val="CommentTextChar"/>
    <w:link w:val="CommentSubject"/>
    <w:uiPriority w:val="99"/>
    <w:semiHidden/>
    <w:rsid w:val="00F93D95"/>
    <w:rPr>
      <w:b/>
      <w:bCs/>
      <w:sz w:val="20"/>
      <w:szCs w:val="20"/>
    </w:rPr>
  </w:style>
  <w:style w:type="character" w:styleId="UnresolvedMention">
    <w:name w:val="Unresolved Mention"/>
    <w:basedOn w:val="DefaultParagraphFont"/>
    <w:uiPriority w:val="99"/>
    <w:semiHidden/>
    <w:unhideWhenUsed/>
    <w:rsid w:val="0089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961108160">
      <w:bodyDiv w:val="1"/>
      <w:marLeft w:val="0"/>
      <w:marRight w:val="0"/>
      <w:marTop w:val="0"/>
      <w:marBottom w:val="0"/>
      <w:divBdr>
        <w:top w:val="none" w:sz="0" w:space="0" w:color="auto"/>
        <w:left w:val="none" w:sz="0" w:space="0" w:color="auto"/>
        <w:bottom w:val="none" w:sz="0" w:space="0" w:color="auto"/>
        <w:right w:val="none" w:sz="0" w:space="0" w:color="auto"/>
      </w:divBdr>
    </w:div>
    <w:div w:id="994803068">
      <w:bodyDiv w:val="1"/>
      <w:marLeft w:val="0"/>
      <w:marRight w:val="0"/>
      <w:marTop w:val="0"/>
      <w:marBottom w:val="0"/>
      <w:divBdr>
        <w:top w:val="none" w:sz="0" w:space="0" w:color="auto"/>
        <w:left w:val="none" w:sz="0" w:space="0" w:color="auto"/>
        <w:bottom w:val="none" w:sz="0" w:space="0" w:color="auto"/>
        <w:right w:val="none" w:sz="0" w:space="0" w:color="auto"/>
      </w:divBdr>
    </w:div>
    <w:div w:id="1144465945">
      <w:bodyDiv w:val="1"/>
      <w:marLeft w:val="0"/>
      <w:marRight w:val="0"/>
      <w:marTop w:val="0"/>
      <w:marBottom w:val="0"/>
      <w:divBdr>
        <w:top w:val="none" w:sz="0" w:space="0" w:color="auto"/>
        <w:left w:val="none" w:sz="0" w:space="0" w:color="auto"/>
        <w:bottom w:val="none" w:sz="0" w:space="0" w:color="auto"/>
        <w:right w:val="none" w:sz="0" w:space="0" w:color="auto"/>
      </w:divBdr>
      <w:divsChild>
        <w:div w:id="1838305336">
          <w:marLeft w:val="720"/>
          <w:marRight w:val="0"/>
          <w:marTop w:val="120"/>
          <w:marBottom w:val="120"/>
          <w:divBdr>
            <w:top w:val="none" w:sz="0" w:space="0" w:color="auto"/>
            <w:left w:val="none" w:sz="0" w:space="0" w:color="auto"/>
            <w:bottom w:val="none" w:sz="0" w:space="0" w:color="auto"/>
            <w:right w:val="none" w:sz="0" w:space="0" w:color="auto"/>
          </w:divBdr>
        </w:div>
        <w:div w:id="1878472266">
          <w:marLeft w:val="720"/>
          <w:marRight w:val="0"/>
          <w:marTop w:val="120"/>
          <w:marBottom w:val="120"/>
          <w:divBdr>
            <w:top w:val="none" w:sz="0" w:space="0" w:color="auto"/>
            <w:left w:val="none" w:sz="0" w:space="0" w:color="auto"/>
            <w:bottom w:val="none" w:sz="0" w:space="0" w:color="auto"/>
            <w:right w:val="none" w:sz="0" w:space="0" w:color="auto"/>
          </w:divBdr>
        </w:div>
        <w:div w:id="1193877865">
          <w:marLeft w:val="72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docname:00298193"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novitas-solutions.com/webcenter/portal/MedicareJH/277CARejectCodeLookup" TargetMode="External"/><Relationship Id="rId3" Type="http://schemas.openxmlformats.org/officeDocument/2006/relationships/customXml" Target="../customXml/item3.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novitas-solutions.com/webcenter/content/conn/UCM_Repository/uuid/dDocName:00004758" TargetMode="External"/><Relationship Id="rId33" Type="http://schemas.openxmlformats.org/officeDocument/2006/relationships/hyperlink" Target="https://www.cms.gov/files/document/coba-trading-partners-customer-service-contacts-june-2022.pdf"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www.novitas-solutions.com/webcenter/portal/MedicareJL/pagebyid?contentId=0000459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www.novitas-solutions.com/webcenter/portal/MedicareJL/pagebyid?contentId=00004595" TargetMode="External"/><Relationship Id="rId32" Type="http://schemas.openxmlformats.org/officeDocument/2006/relationships/hyperlink" Target="https://www.novitas-solutions.com/webcenter/portal/MedicareJL/pagebyid?contentId=00008254" TargetMode="Externa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yperlink" Target="https://www.novitas-solutions.com/webcenter/portal/MedicareJH/pagebyid?contentId=00004595" TargetMode="External"/><Relationship Id="rId28" Type="http://schemas.openxmlformats.org/officeDocument/2006/relationships/hyperlink" Target="https://www.novitas-solutions.com/webcenter/portal/MedicareJH/pagebyid?contentId=00004595"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ddocname:00084216"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novitas-solutions.com/webcenter/content/conn/UCM_Repository/uuid/dDocName:00004759" TargetMode="External"/><Relationship Id="rId27" Type="http://schemas.openxmlformats.org/officeDocument/2006/relationships/hyperlink" Target="https://www.novitas-solutions.com/webcenter/portal/MedicareJL/page/277CARejectCodeLookup" TargetMode="External"/><Relationship Id="rId30" Type="http://schemas.openxmlformats.org/officeDocument/2006/relationships/hyperlink" Target="ddocname:00004608"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BO\Desktop\WebDocument%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B4DC2-97C9-40AA-AFEB-F36715BFC2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A9649FC-B547-4CD0-8297-5DC2B72F705A}">
  <ds:schemaRefs>
    <ds:schemaRef ds:uri="http://schemas.microsoft.com/sharepoint/v3/contenttype/forms"/>
  </ds:schemaRefs>
</ds:datastoreItem>
</file>

<file path=customXml/itemProps3.xml><?xml version="1.0" encoding="utf-8"?>
<ds:datastoreItem xmlns:ds="http://schemas.openxmlformats.org/officeDocument/2006/customXml" ds:itemID="{23D1B53E-C720-4854-9197-268C21E01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WebDocument Template1.dotx</Template>
  <TotalTime>0</TotalTime>
  <Pages>5</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Pottinger, Angela</dc:creator>
  <cp:lastModifiedBy>Keefer, Felecia</cp:lastModifiedBy>
  <cp:revision>2</cp:revision>
  <cp:lastPrinted>2013-08-22T18:47:00Z</cp:lastPrinted>
  <dcterms:created xsi:type="dcterms:W3CDTF">2024-12-09T10:58:00Z</dcterms:created>
  <dcterms:modified xsi:type="dcterms:W3CDTF">2024-12-09T10:58:00Z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